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spacing w:after="120" w:before="0"/>
        <w:jc w:val="center"/>
      </w:pPr>
    </w:p>
    <w:p>
      <w:pPr>
        <w:spacing w:after="120" w:before="0"/>
        <w:jc w:val="center"/>
      </w:pPr>
    </w:p>
    <w:p>
      <w:pPr>
        <w:spacing w:after="120" w:before="0"/>
        <w:jc w:val="center"/>
      </w:pPr>
    </w:p>
    <w:p>
      <w:pPr>
        <w:spacing w:after="120" w:before="0"/>
        <w:jc w:val="center"/>
      </w:pPr>
    </w:p>
    <w:p>
      <w:pPr>
        <w:spacing w:after="120" w:before="0"/>
        <w:jc w:val="center"/>
      </w:pPr>
    </w:p>
    <w:p>
      <w:pPr>
        <w:spacing w:after="200" w:before="80"/>
        <w:jc w:val="center"/>
      </w:pPr>
      <w:r>
        <w:rPr>
          <w:rFonts w:ascii="DejaVu Serif" w:hAnsi="DejaVu Serif" w:eastAsia="Noto Serif CJK SC"/>
          <w:b/>
          <w:color w:val="000000"/>
          <w:sz w:val="60"/>
        </w:rPr>
        <w:t>CHARTER OF LIFE ACTION</w:t>
      </w:r>
    </w:p>
    <w:p>
      <w:pPr>
        <w:spacing w:after="200" w:before="0"/>
        <w:jc w:val="center"/>
      </w:pPr>
      <w:r>
        <w:rPr>
          <w:rFonts w:ascii="DejaVu Serif" w:hAnsi="DejaVu Serif" w:eastAsia="Noto Sans CJK SC"/>
          <w:b w:val="0"/>
          <w:color w:val="C00000"/>
          <w:sz w:val="24"/>
        </w:rPr>
        <w:t>——————————————</w:t>
      </w:r>
    </w:p>
    <w:p>
      <w:pPr>
        <w:spacing w:after="200" w:before="0"/>
        <w:jc w:val="center"/>
      </w:pPr>
      <w:r>
        <w:rPr>
          <w:rFonts w:ascii="DejaVu Serif" w:hAnsi="DejaVu Serif" w:eastAsia="Noto Sans CJK SC"/>
          <w:b/>
          <w:color w:val="C00000"/>
          <w:sz w:val="30"/>
        </w:rPr>
        <w:t>Annotated Enlarged Consolidated Edition · 2026-09-26</w:t>
      </w:r>
    </w:p>
    <w:p>
      <w:pPr>
        <w:spacing w:after="200" w:before="0"/>
        <w:jc w:val="center"/>
      </w:pPr>
      <w:r>
        <w:rPr>
          <w:rFonts w:ascii="DejaVu Serif" w:hAnsi="DejaVu Serif" w:eastAsia="Noto Sans CJK SC"/>
          <w:b w:val="0"/>
          <w:color w:val="C00000"/>
          <w:sz w:val="24"/>
        </w:rPr>
        <w:t>——————————————</w:t>
      </w:r>
    </w:p>
    <w:p>
      <w:pPr>
        <w:spacing w:after="120" w:before="0"/>
        <w:jc w:val="center"/>
      </w:pPr>
    </w:p>
    <w:p>
      <w:pPr>
        <w:spacing w:after="120" w:before="0"/>
        <w:jc w:val="center"/>
      </w:pPr>
    </w:p>
    <w:p>
      <w:pPr>
        <w:spacing w:after="120" w:before="0"/>
        <w:jc w:val="center"/>
      </w:pPr>
    </w:p>
    <w:p>
      <w:pPr>
        <w:spacing w:after="120" w:before="0"/>
        <w:jc w:val="center"/>
      </w:pPr>
    </w:p>
    <w:p>
      <w:pPr>
        <w:spacing w:after="120" w:before="0"/>
        <w:jc w:val="center"/>
      </w:pPr>
    </w:p>
    <w:p>
      <w:pPr>
        <w:spacing w:after="120" w:before="0"/>
        <w:jc w:val="center"/>
      </w:pPr>
    </w:p>
    <w:p>
      <w:pPr>
        <w:spacing w:after="120" w:before="0"/>
        <w:jc w:val="center"/>
      </w:pPr>
      <w:r>
        <w:rPr>
          <w:rFonts w:ascii="DejaVu Serif" w:hAnsi="DejaVu Serif" w:eastAsia="Noto Sans CJK SC"/>
          <w:b/>
          <w:color w:val="000000"/>
          <w:sz w:val="26"/>
        </w:rPr>
        <w:t>制 定 人：孙 雨 钧</w:t>
      </w:r>
    </w:p>
    <w:p>
      <w:pPr>
        <w:spacing w:after="120" w:before="0"/>
        <w:jc w:val="center"/>
      </w:pPr>
      <w:r>
        <w:rPr>
          <w:rFonts w:ascii="DejaVu Serif" w:hAnsi="DejaVu Serif" w:eastAsia="Noto Sans CJK SC"/>
          <w:b/>
          <w:color w:val="C00000"/>
          <w:sz w:val="26"/>
        </w:rPr>
        <w:t>26 September 2026</w:t>
      </w:r>
    </w:p>
    <w:p>
      <w:r>
        <w:br w:type="page"/>
      </w:r>
    </w:p>
    <w:bookmarkStart w:id="20" w:name="X673a425ac69c017106a563e203604c95d1e22eb"/>
    <w:p>
      <w:pPr>
        <w:pStyle w:val="Heading1"/>
        <w:spacing w:after="240" w:line="312" w:lineRule="auto"/>
        <w:jc w:val="center"/>
      </w:pPr>
      <w:r>
        <w:rPr>
          <w:rFonts w:ascii="DejaVu Serif" w:hAnsi="DejaVu Serif" w:eastAsia="Noto Serif CJK SC"/>
          <w:color w:val="000000"/>
          <w:sz w:val="34"/>
        </w:rPr>
        <w:t xml:space="preserve">The Annotated and Consolidated Edition of the Charter of Life Action (2026-09-26 Version)</w:t>
      </w:r>
    </w:p>
    <w:p>
      <w:pPr>
        <w:pStyle w:val="FirstParagraph"/>
        <w:spacing w:after="120" w:line="312" w:lineRule="auto"/>
      </w:pPr>
      <w:r>
        <w:rPr>
          <w:rFonts w:ascii="DejaVu Serif" w:hAnsi="DejaVu Serif" w:eastAsia="Noto Serif CJK SC"/>
          <w:b/>
          <w:bCs/>
          <w:color w:val="000000"/>
          <w:sz w:val="22"/>
        </w:rPr>
        <w:t xml:space="preserve">The Cosmic, Globalized and Internationalized Charter of Life Action (the 60th Principled Final Correction)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Main Text · Amendments and Correction Bills · Annexes (of equivalent validity to the main Charter) · Sub-commentary in the Tang Code with Sub-commentary Style</w:t>
      </w:r>
    </w:p>
    <w:p>
      <w:pPr>
        <w:pStyle w:val="BodyText"/>
        <w:spacing w:after="120" w:line="312" w:lineRule="auto"/>
      </w:pPr>
      <w:r>
        <w:rPr>
          <w:rFonts w:ascii="DejaVu Serif" w:hAnsi="DejaVu Serif" w:eastAsia="Noto Serif CJK SC"/>
          <w:b/>
          <w:bCs/>
          <w:color w:val="000000"/>
          <w:sz w:val="22"/>
        </w:rPr>
        <w:t xml:space="preserve">Charter-Maker</w:t>
      </w:r>
      <w:r>
        <w:rPr>
          <w:rFonts w:ascii="DejaVu Serif" w:hAnsi="DejaVu Serif" w:eastAsia="Noto Serif CJK SC"/>
          <w:color w:val="000000"/>
          <w:sz w:val="22"/>
        </w:rPr>
        <w:t xml:space="preserve">: Sun Yujun (Aaron Suen)</w:t>
      </w:r>
    </w:p>
    <w:p>
      <w:pPr>
        <w:pStyle w:val="BodyText"/>
        <w:spacing w:after="120" w:line="312" w:lineRule="auto"/>
      </w:pPr>
      <w:r>
        <w:rPr>
          <w:rFonts w:ascii="DejaVu Serif" w:hAnsi="DejaVu Serif" w:eastAsia="Noto Serif CJK SC"/>
          <w:b/>
          <w:bCs/>
          <w:color w:val="000000"/>
          <w:sz w:val="22"/>
        </w:rPr>
        <w:t xml:space="preserve">Version</w:t>
      </w:r>
      <w:r>
        <w:rPr>
          <w:rFonts w:ascii="DejaVu Serif" w:hAnsi="DejaVu Serif" w:eastAsia="Noto Serif CJK SC"/>
          <w:color w:val="000000"/>
          <w:sz w:val="22"/>
        </w:rPr>
        <w:t xml:space="preserve">: Main Text (2026-09-26 Version); Amendments and Correction Bills (those in force as of September 25, 2026); Annexes (minor documents in verbatim full text, major documents listed by index only); Sub-commentary (Tang Code format·consolidated master edition, compiled on September 25, 2026).</w:t>
      </w:r>
    </w:p>
    <w:p>
      <w:pPr>
        <w:pStyle w:val="BodyText"/>
        <w:spacing w:after="120" w:line="312" w:lineRule="auto"/>
      </w:pPr>
      <w:r>
        <w:rPr>
          <w:rFonts w:ascii="DejaVu Serif" w:hAnsi="DejaVu Serif" w:eastAsia="Noto Serif CJK SC"/>
          <w:b/>
          <w:bCs/>
          <w:color w:val="000000"/>
          <w:sz w:val="22"/>
        </w:rPr>
        <w:t xml:space="preserve">Structure</w:t>
      </w:r>
      <w:r>
        <w:rPr>
          <w:rFonts w:ascii="DejaVu Serif" w:hAnsi="DejaVu Serif" w:eastAsia="Noto Serif CJK SC"/>
          <w:color w:val="000000"/>
          <w:sz w:val="22"/>
        </w:rPr>
        <w:t xml:space="preserve">: The main text forms the warp, and the sub-commentary the weft. Following each Article, the 【Sub-commentary】 annotations are attached (in large red closed boxes, with variant characters); Amendments and Correction Bills are arranged according to the second part of the sub-commentary; minor documents are included in verbatim full text, while major documents are listed by index only; an appendix index is appended at the end. Only black and large red colors are used for text.</w:t>
      </w:r>
    </w:p>
    <w:p>
      <w:pPr>
        <w:spacing w:after="120" w:line="312" w:lineRule="auto"/>
      </w:pPr>
      <w:r>
        <w:rPr>
          <w:rFonts w:ascii="DejaVu Serif" w:hAnsi="DejaVu Serif" w:eastAsia="Noto Serif CJK SC"/>
          <w:color w:val="000000"/>
          <w:sz w:val="22"/>
        </w:rPr>
        <w:pict>
          <v:rect style="width:0;height:1.5pt" o:hralign="center" o:hrstd="t" o:hr="t"/>
        </w:pict>
      </w:r>
    </w:p>
    <w:bookmarkEnd w:id="20"/>
    <w:bookmarkStart w:id="27" w:name="Xe9381136110846a404c8f17ac56235be5c3130b"/>
    <w:p>
      <w:pPr>
        <w:pStyle w:val="Heading1"/>
        <w:spacing w:after="240" w:line="312" w:lineRule="auto"/>
        <w:jc w:val="center"/>
      </w:pPr>
      <w:r>
        <w:rPr>
          <w:rFonts w:ascii="DejaVu Serif" w:hAnsi="DejaVu Serif" w:eastAsia="Noto Serif CJK SC"/>
          <w:color w:val="000000"/>
          <w:sz w:val="34"/>
        </w:rPr>
        <w:t xml:space="preserve">Volume Preface · Sub-commentary Introduction</w:t>
      </w:r>
    </w:p>
    <w:bookmarkStart w:id="21" w:name="general-provisions"/>
    <w:p>
      <w:pPr>
        <w:pStyle w:val="Heading2"/>
        <w:spacing w:after="160" w:line="312" w:lineRule="auto"/>
        <w:jc w:val="left"/>
      </w:pPr>
      <w:r>
        <w:rPr>
          <w:rFonts w:ascii="DejaVu Serif" w:hAnsi="DejaVu Serif" w:eastAsia="Noto Serif CJK SC"/>
          <w:color w:val="000000"/>
          <w:sz w:val="30"/>
        </w:rPr>
        <w:t xml:space="preserve">General Provisions</w:t>
      </w:r>
    </w:p>
    <w:p>
      <w:pPr>
        <w:pStyle w:val="FirstParagraph"/>
        <w:spacing w:after="120" w:line="312" w:lineRule="auto"/>
      </w:pPr>
      <w:r>
        <w:rPr>
          <w:rFonts w:ascii="DejaVu Serif" w:hAnsi="DejaVu Serif" w:eastAsia="Noto Serif CJK SC"/>
          <w:color w:val="000000"/>
          <w:sz w:val="22"/>
        </w:rPr>
        <w:t xml:space="preserve">I.</w:t>
      </w:r>
      <w:r>
        <w:rPr>
          <w:rFonts w:ascii="DejaVu Serif" w:hAnsi="DejaVu Serif" w:eastAsia="Noto Serif CJK SC"/>
          <w:color w:val="000000"/>
          <w:sz w:val="22"/>
        </w:rPr>
        <w:t xml:space="preserve"> </w:t>
      </w:r>
      <w:r>
        <w:rPr>
          <w:rFonts w:ascii="DejaVu Serif" w:hAnsi="DejaVu Serif" w:eastAsia="Noto Serif CJK SC"/>
          <w:b/>
          <w:bCs/>
          <w:color w:val="000000"/>
          <w:sz w:val="22"/>
        </w:rPr>
        <w:t xml:space="preserve">Nature of this Sub-commentary</w:t>
      </w:r>
      <w:r>
        <w:rPr>
          <w:rFonts w:ascii="DejaVu Serif" w:hAnsi="DejaVu Serif" w:eastAsia="Noto Serif CJK SC"/>
          <w:color w:val="000000"/>
          <w:sz w:val="22"/>
        </w:rPr>
        <w:t xml:space="preserve">: This sub-commentary is a systematic explanatory text of the Charter of Life Action system (main Charter + Amendments + Annexes), serving as a tool for auxiliary understanding and uniform application, and does not itself constitute an amendment, supplement, or modification to the Charter’s main text. The articles shall be governed by the authentic text signed by the Charter-Maker. The term</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in force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shall be determined in accordance with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Complete Catalog of the Charter of Life Action Main Body and Annex System (Final Updated Version·20260822)</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p>
    <w:p>
      <w:pPr>
        <w:pStyle w:val="Compact"/>
        <w:numPr>
          <w:ilvl w:val="0"/>
          <w:numId w:val="1001"/>
        </w:numPr>
        <w:spacing w:after="120" w:line="312" w:lineRule="auto"/>
      </w:pPr>
      <w:r>
        <w:rPr>
          <w:rFonts w:ascii="DejaVu Serif" w:hAnsi="DejaVu Serif" w:eastAsia="Noto Serif CJK SC"/>
          <w:b/>
          <w:bCs/>
          <w:color w:val="000000"/>
          <w:sz w:val="22"/>
        </w:rPr>
        <w:t xml:space="preserve">Structure of the Sub-commentary</w:t>
      </w:r>
      <w:r>
        <w:rPr>
          <w:rFonts w:ascii="DejaVu Serif" w:hAnsi="DejaVu Serif" w:eastAsia="Noto Serif CJK SC"/>
          <w:color w:val="000000"/>
          <w:sz w:val="22"/>
        </w:rPr>
        <w:t xml:space="preserve">: Following the model of the Tang Code with Sub-commentary, each article is divided into:</w:t>
      </w:r>
    </w:p>
    <w:p>
      <w:pPr>
        <w:pStyle w:val="Compact"/>
        <w:numPr>
          <w:ilvl w:val="0"/>
          <w:numId w:val="1002"/>
        </w:numPr>
        <w:spacing w:after="120" w:line="312" w:lineRule="auto"/>
      </w:pPr>
      <w:r>
        <w:rPr>
          <w:rFonts w:ascii="DejaVu Serif" w:hAnsi="DejaVu Serif" w:eastAsia="Noto Serif CJK SC"/>
          <w:color w:val="000000"/>
          <w:sz w:val="22"/>
        </w:rPr>
        <w:t xml:space="preserve">【Statute】——the original text of the article (copied verbatim, with extremely lengthy enumerative texts partially cited with key points noted, with</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full text shall be governed by the authentic text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indicated);</w:t>
      </w:r>
    </w:p>
    <w:p>
      <w:pPr>
        <w:pStyle w:val="Compact"/>
        <w:numPr>
          <w:ilvl w:val="0"/>
          <w:numId w:val="1002"/>
        </w:numPr>
        <w:spacing w:after="120" w:line="312" w:lineRule="auto"/>
      </w:pPr>
      <w:r>
        <w:rPr>
          <w:rFonts w:ascii="DejaVu Serif" w:hAnsi="DejaVu Serif" w:eastAsia="Noto Serif CJK SC"/>
          <w:color w:val="000000"/>
          <w:sz w:val="22"/>
        </w:rPr>
        <w:t xml:space="preserve">【Commentary】——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Sub-commentary states,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explaining the purpose of this article’s establishment, legislative history, and its position within the Charter system;</w:t>
      </w:r>
    </w:p>
    <w:p>
      <w:pPr>
        <w:pStyle w:val="Compact"/>
        <w:numPr>
          <w:ilvl w:val="0"/>
          <w:numId w:val="1002"/>
        </w:numPr>
        <w:spacing w:after="120" w:line="312" w:lineRule="auto"/>
      </w:pPr>
      <w:r>
        <w:rPr>
          <w:rFonts w:ascii="DejaVu Serif" w:hAnsi="DejaVu Serif" w:eastAsia="Noto Serif CJK SC"/>
          <w:color w:val="000000"/>
          <w:sz w:val="22"/>
        </w:rPr>
        <w:t xml:space="preserve">【Discussion】——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Discussion states,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interpreting the meaning, application rules, and exceptional circumstances of the article sentence by sentence and word by word;</w:t>
      </w:r>
    </w:p>
    <w:p>
      <w:pPr>
        <w:pStyle w:val="Compact"/>
        <w:numPr>
          <w:ilvl w:val="0"/>
          <w:numId w:val="1002"/>
        </w:numPr>
        <w:spacing w:after="120" w:line="312" w:lineRule="auto"/>
      </w:pPr>
      <w:r>
        <w:rPr>
          <w:rFonts w:ascii="DejaVu Serif" w:hAnsi="DejaVu Serif" w:eastAsia="Noto Serif CJK SC"/>
          <w:color w:val="000000"/>
          <w:sz w:val="22"/>
        </w:rPr>
        <w:t xml:space="preserve">【Question】【Answer】—where meanings are ambiguous or applications are disputed, questions and answers are provided to clarify;</w:t>
      </w:r>
    </w:p>
    <w:p>
      <w:pPr>
        <w:pStyle w:val="Compact"/>
        <w:numPr>
          <w:ilvl w:val="0"/>
          <w:numId w:val="1002"/>
        </w:numPr>
        <w:spacing w:after="120" w:line="312" w:lineRule="auto"/>
      </w:pPr>
      <w:r>
        <w:rPr>
          <w:rFonts w:ascii="DejaVu Serif" w:hAnsi="DejaVu Serif" w:eastAsia="Noto Serif CJK SC"/>
          <w:color w:val="000000"/>
          <w:sz w:val="22"/>
        </w:rPr>
        <w:t xml:space="preserve">【Cross-ref】—noting related articles, amendments, or annexes for mutual verification.</w:t>
      </w:r>
    </w:p>
    <w:p>
      <w:pPr>
        <w:numPr>
          <w:ilvl w:val="0"/>
          <w:numId w:val="1003"/>
        </w:numPr>
        <w:spacing w:after="120" w:line="312" w:lineRule="auto"/>
      </w:pPr>
      <w:r>
        <w:rPr>
          <w:rFonts w:ascii="DejaVu Serif" w:hAnsi="DejaVu Serif" w:eastAsia="Noto Serif CJK SC"/>
          <w:b/>
          <w:bCs/>
          <w:color w:val="000000"/>
          <w:sz w:val="22"/>
        </w:rPr>
        <w:t xml:space="preserve">Arrangement of Volumes</w:t>
      </w:r>
      <w:r>
        <w:rPr>
          <w:rFonts w:ascii="DejaVu Serif" w:hAnsi="DejaVu Serif" w:eastAsia="Noto Serif CJK SC"/>
          <w:color w:val="000000"/>
          <w:sz w:val="22"/>
        </w:rPr>
        <w:t xml:space="preserve">: The main Charter, according to its content and with reference to the spirit of the Tang Code with Sub-commentary’s chapters, is divided into twelve volumes; the Amendment system is divided into one volume (with eleven sub-items); the Annex system is divided into nine volumes. The volume arrangement is detailed in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General Table of Volumes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p>
    <w:p>
      <w:pPr>
        <w:numPr>
          <w:ilvl w:val="0"/>
          <w:numId w:val="1003"/>
        </w:numPr>
        <w:spacing w:after="120" w:line="312" w:lineRule="auto"/>
      </w:pPr>
      <w:r>
        <w:rPr>
          <w:rFonts w:ascii="DejaVu Serif" w:hAnsi="DejaVu Serif" w:eastAsia="Noto Serif CJK SC"/>
          <w:b/>
          <w:bCs/>
          <w:color w:val="000000"/>
          <w:sz w:val="22"/>
        </w:rPr>
        <w:t xml:space="preserve">Application of Terminology</w:t>
      </w:r>
      <w:r>
        <w:rPr>
          <w:rFonts w:ascii="DejaVu Serif" w:hAnsi="DejaVu Serif" w:eastAsia="Noto Serif CJK SC"/>
          <w:color w:val="000000"/>
          <w:sz w:val="22"/>
        </w:rPr>
        <w:t xml:space="preserve">: The main Charter explicitly states that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all</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employees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this text, whether specially specified or not, shall refer to one or more of civil and commercial partners, civil and commercial cooperators, and employees (same throughout the text).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This sub-commentary follows this principle in all respects; all expressions concerning organizations and human resources uniformly use compliant terms such as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company member,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partner,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cooperator,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governance,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collaboration,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review and approval,</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do not use hierarchical or employment-based terminology. However, when 【Statute】 copies the original text verbatim, the original terminology is recorded as is to provide clear contrast, and its appearance is itself compliant and not considered a violation, in accordance with the exemption clause of the TERM-REVIEW-001 Terminology Consistency Review General Regulations’ comparison table.</w:t>
      </w:r>
    </w:p>
    <w:p>
      <w:pPr>
        <w:pStyle w:val="FirstParagraph"/>
        <w:spacing w:after="120" w:line="312" w:lineRule="auto"/>
      </w:pPr>
      <w:r>
        <w:rPr>
          <w:rFonts w:ascii="DejaVu Serif" w:hAnsi="DejaVu Serif" w:eastAsia="Noto Serif CJK SC"/>
          <w:color w:val="000000"/>
          <w:sz w:val="22"/>
        </w:rPr>
        <w:t xml:space="preserve">V.</w:t>
      </w:r>
      <w:r>
        <w:rPr>
          <w:rFonts w:ascii="DejaVu Serif" w:hAnsi="DejaVu Serif" w:eastAsia="Noto Serif CJK SC"/>
          <w:color w:val="000000"/>
          <w:sz w:val="22"/>
        </w:rPr>
        <w:t xml:space="preserve"> </w:t>
      </w:r>
      <w:r>
        <w:rPr>
          <w:rFonts w:ascii="DejaVu Serif" w:hAnsi="DejaVu Serif" w:eastAsia="Noto Serif CJK SC"/>
          <w:b/>
          <w:bCs/>
          <w:color w:val="000000"/>
          <w:sz w:val="22"/>
        </w:rPr>
        <w:t xml:space="preserve">Basis for Citation</w:t>
      </w:r>
      <w:r>
        <w:rPr>
          <w:rFonts w:ascii="DejaVu Serif" w:hAnsi="DejaVu Serif" w:eastAsia="Noto Serif CJK SC"/>
          <w:color w:val="000000"/>
          <w:sz w:val="22"/>
        </w:rPr>
        <w:t xml:space="preserve">: This sub-commentary cites only formally effective documents, namely: the main Charter (including the currently effective parts of all previous amendments), documents of the Amendment system, documents of the Annex system, and interpretive letters and explanatory documents that have taken effect through formal procedures. Appendices (Part IV·Documents to be Filed), analytical summary documents, and historical versions that have been repealed are not cited.</w:t>
      </w:r>
    </w:p>
    <w:p>
      <w:pPr>
        <w:pStyle w:val="Compact"/>
        <w:numPr>
          <w:ilvl w:val="0"/>
          <w:numId w:val="1004"/>
        </w:numPr>
        <w:spacing w:after="120" w:line="312" w:lineRule="auto"/>
      </w:pPr>
      <w:r>
        <w:rPr>
          <w:rFonts w:ascii="DejaVu Serif" w:hAnsi="DejaVu Serif" w:eastAsia="Noto Serif CJK SC"/>
          <w:b/>
          <w:bCs/>
          <w:color w:val="000000"/>
          <w:sz w:val="22"/>
        </w:rPr>
        <w:t xml:space="preserve">Versions and Legislative History</w:t>
      </w:r>
      <w:r>
        <w:rPr>
          <w:rFonts w:ascii="DejaVu Serif" w:hAnsi="DejaVu Serif" w:eastAsia="Noto Serif CJK SC"/>
          <w:color w:val="000000"/>
          <w:sz w:val="22"/>
        </w:rPr>
        <w:t xml:space="preserve">: The Charter system adopts the conflict rules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new provisions override old provisions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specific provisions override general provisions.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Where articles have been amended by Amendment Bills, Correction Bills, or Rectification Bills, this sub-commentary notes the legislative history in 【Commentary】 and 【Cross-ref】; where article numbers have been adjusted in various revisions, a 【Legislative History】 is provided at the end of the article, and its application is determined in accordance with Article 126, 【Principles of Latest Charter Application】.</w:t>
      </w:r>
    </w:p>
    <w:p>
      <w:pPr>
        <w:spacing w:after="120" w:line="312" w:lineRule="auto"/>
      </w:pPr>
      <w:r>
        <w:rPr>
          <w:rFonts w:ascii="DejaVu Serif" w:hAnsi="DejaVu Serif" w:eastAsia="Noto Serif CJK SC"/>
          <w:color w:val="000000"/>
          <w:sz w:val="22"/>
        </w:rPr>
        <w:pict>
          <v:rect style="width:0;height:1.5pt" o:hralign="center" o:hrstd="t" o:hr="t"/>
        </w:pict>
      </w:r>
    </w:p>
    <w:bookmarkEnd w:id="21"/>
    <w:bookmarkStart w:id="22" w:name="consolidated-general-preface"/>
    <w:p>
      <w:pPr>
        <w:pStyle w:val="Heading2"/>
        <w:spacing w:after="160" w:line="312" w:lineRule="auto"/>
        <w:jc w:val="left"/>
      </w:pPr>
      <w:r>
        <w:rPr>
          <w:rFonts w:ascii="DejaVu Serif" w:hAnsi="DejaVu Serif" w:eastAsia="Noto Serif CJK SC"/>
          <w:color w:val="000000"/>
          <w:sz w:val="30"/>
        </w:rPr>
        <w:t xml:space="preserve">Consolidated General Preface</w:t>
      </w:r>
    </w:p>
    <w:p>
      <w:pPr>
        <w:pStyle w:val="FirstParagraph"/>
        <w:spacing w:after="120" w:line="312" w:lineRule="auto"/>
      </w:pPr>
      <w:r>
        <w:rPr>
          <w:rFonts w:ascii="DejaVu Serif" w:hAnsi="DejaVu Serif" w:eastAsia="Noto Serif CJK SC"/>
          <w:color w:val="000000"/>
          <w:sz w:val="22"/>
        </w:rPr>
        <w:t xml:space="preserve">Sub-commentary states: All Charters of Law should proceed from general to specific and from fundamental to derivative to form a system. Following the present directive, the sub-commentaries of the main Charter, amendments, and annexes have been merged into one and compiled into a single book. Its arrangement is divided into three parts according to the hierarchy of validity and the nature of the documents:</w:t>
      </w:r>
    </w:p>
    <w:p>
      <w:pPr>
        <w:pStyle w:val="BodyText"/>
        <w:spacing w:after="120" w:line="312" w:lineRule="auto"/>
      </w:pPr>
      <w:r>
        <w:rPr>
          <w:rFonts w:ascii="DejaVu Serif" w:hAnsi="DejaVu Serif" w:eastAsia="Noto Serif CJK SC"/>
          <w:b/>
          <w:bCs/>
          <w:color w:val="000000"/>
          <w:sz w:val="22"/>
        </w:rPr>
        <w:t xml:space="preserve">Part I Main Charter</w:t>
      </w:r>
      <w:r>
        <w:rPr>
          <w:rFonts w:ascii="DejaVu Serif" w:hAnsi="DejaVu Serif" w:eastAsia="Noto Serif CJK SC"/>
          <w:color w:val="000000"/>
          <w:sz w:val="22"/>
        </w:rPr>
        <w:t xml:space="preserve">—the article-by-article sub-commentary of Articles 1 to 145 of the main Charter, in twelve volumes. Starting from Volume I, General Principles and Purpose Chapter, through the Ideal Life Chapter, Life Bottom Line Chapter, Survival and Core Assets Chapter, Core Action Principles Chapter, Business and Operations Chapter, Debt Liquidation Chapter, Thinking Models Chapter, Civil Activities and Political Neutrality Chapter, Intellectual Property and Marriage and Family Chapter, and Growth and Iteration Chapter, concluding with Volume XII, Supplementary Provisions and Civilization and Faith Chapter. The main Charter is the fundamental law of the system, containing all philosophical foundations, value rankings, behavioral bottom lines, and ultimate life goals.</w:t>
      </w:r>
    </w:p>
    <w:p>
      <w:pPr>
        <w:pStyle w:val="BodyText"/>
        <w:spacing w:after="120" w:line="312" w:lineRule="auto"/>
      </w:pPr>
      <w:r>
        <w:rPr>
          <w:rFonts w:ascii="DejaVu Serif" w:hAnsi="DejaVu Serif" w:eastAsia="Noto Serif CJK SC"/>
          <w:b/>
          <w:bCs/>
          <w:color w:val="000000"/>
          <w:sz w:val="22"/>
        </w:rPr>
        <w:t xml:space="preserve">Part II Amendment System</w:t>
      </w:r>
      <w:r>
        <w:rPr>
          <w:rFonts w:ascii="DejaVu Serif" w:hAnsi="DejaVu Serif" w:eastAsia="Noto Serif CJK SC"/>
          <w:color w:val="000000"/>
          <w:sz w:val="22"/>
        </w:rPr>
        <w:t xml:space="preserve">—Amendments I through III,</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Amendment 20240609</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Supplementary Amendment on Helping Boundaries, Correction Bill (II), Correction Bill (III), Annex A.06.001 Civilizational Rectification Bill, New Article to Article 144 on the Dual Iron Law of Organizational Participation, Sub-commentary on Correction Bills (IV) and (V), comprising one Volume and eleven items.</w:t>
      </w:r>
    </w:p>
    <w:p>
      <w:pPr>
        <w:pStyle w:val="BodyText"/>
        <w:spacing w:after="120" w:line="312" w:lineRule="auto"/>
      </w:pPr>
      <w:r>
        <w:rPr>
          <w:rFonts w:ascii="DejaVu Serif" w:hAnsi="DejaVu Serif" w:eastAsia="Noto Serif CJK SC"/>
          <w:b/>
          <w:bCs/>
          <w:color w:val="000000"/>
          <w:sz w:val="22"/>
        </w:rPr>
        <w:t xml:space="preserve">Part III Annex System</w:t>
      </w:r>
      <w:r>
        <w:rPr>
          <w:rFonts w:ascii="DejaVu Serif" w:hAnsi="DejaVu Serif" w:eastAsia="Noto Serif CJK SC"/>
          <w:color w:val="000000"/>
          <w:sz w:val="22"/>
        </w:rPr>
        <w:t xml:space="preserve">—Sub-commentary on Series A (Personal Ethics and Life) through Series H (Interpretive Letters), comprising nine Volumes.</w:t>
      </w:r>
    </w:p>
    <w:p>
      <w:pPr>
        <w:pStyle w:val="BodyText"/>
        <w:spacing w:after="120" w:line="312" w:lineRule="auto"/>
      </w:pPr>
      <w:r>
        <w:rPr>
          <w:rFonts w:ascii="DejaVu Serif" w:hAnsi="DejaVu Serif" w:eastAsia="Noto Serif CJK SC"/>
          <w:color w:val="000000"/>
          <w:sz w:val="22"/>
        </w:rPr>
        <w:t xml:space="preserve">The sequence of the three Parts, from the fundamental law to the amended and supplemented Amendments, and then to the execution details of equivalent effect—from the root to the branches, from the general to the specific—comprehensive interpretation of the Charter is fully presented herein.</w:t>
      </w:r>
    </w:p>
    <w:p>
      <w:pPr>
        <w:pStyle w:val="BodyText"/>
        <w:spacing w:after="120" w:line="312" w:lineRule="auto"/>
      </w:pPr>
      <w:r>
        <w:rPr>
          <w:rFonts w:ascii="DejaVu Serif" w:hAnsi="DejaVu Serif" w:eastAsia="Noto Serif CJK SC"/>
          <w:color w:val="000000"/>
          <w:sz w:val="22"/>
        </w:rPr>
        <w:t xml:space="preserve">Sub-commentary on the Charter of Life Action Compilation</w:t>
      </w:r>
    </w:p>
    <w:p>
      <w:pPr>
        <w:pStyle w:val="BodyText"/>
        <w:spacing w:after="120" w:line="312" w:lineRule="auto"/>
      </w:pPr>
      <w:r>
        <w:rPr>
          <w:rFonts w:ascii="DejaVu Serif" w:hAnsi="DejaVu Serif" w:eastAsia="Noto Serif CJK SC"/>
          <w:color w:val="000000"/>
          <w:sz w:val="22"/>
        </w:rPr>
        <w:t xml:space="preserve">September 15, 2026</w:t>
      </w:r>
    </w:p>
    <w:p>
      <w:pPr>
        <w:spacing w:after="120" w:line="312" w:lineRule="auto"/>
      </w:pPr>
      <w:r>
        <w:rPr>
          <w:rFonts w:ascii="DejaVu Serif" w:hAnsi="DejaVu Serif" w:eastAsia="Noto Serif CJK SC"/>
          <w:color w:val="000000"/>
          <w:sz w:val="22"/>
        </w:rPr>
        <w:pict>
          <v:rect style="width:0;height:1.5pt" o:hralign="center" o:hrstd="t" o:hr="t"/>
        </w:pict>
      </w:r>
    </w:p>
    <w:bookmarkEnd w:id="22"/>
    <w:bookmarkStart w:id="26" w:name="table-of-contents-by-volume"/>
    <w:p>
      <w:pPr>
        <w:pStyle w:val="Heading2"/>
        <w:spacing w:after="160" w:line="312" w:lineRule="auto"/>
        <w:jc w:val="left"/>
      </w:pPr>
      <w:r>
        <w:rPr>
          <w:rFonts w:ascii="DejaVu Serif" w:hAnsi="DejaVu Serif" w:eastAsia="Noto Serif CJK SC"/>
          <w:color w:val="000000"/>
          <w:sz w:val="30"/>
        </w:rPr>
        <w:t xml:space="preserve">Table of Contents by Volume</w:t>
      </w:r>
    </w:p>
    <w:bookmarkStart w:id="23" w:name="part-i-main-charter"/>
    <w:p>
      <w:pPr>
        <w:pStyle w:val="Heading3"/>
        <w:spacing w:after="120" w:line="312" w:lineRule="auto"/>
        <w:jc w:val="left"/>
      </w:pPr>
      <w:r>
        <w:rPr>
          <w:rFonts w:ascii="DejaVu Serif" w:hAnsi="DejaVu Serif" w:eastAsia="Noto Serif CJK SC"/>
          <w:color w:val="000000"/>
          <w:sz w:val="26"/>
        </w:rPr>
        <w:t xml:space="preserve">Part I Main Charter</w:t>
      </w:r>
    </w:p>
    <w:tbl>
      <w:tblPr>
        <w:tblStyle w:val="Table"/>
        <w:tblW w:type="pct" w:w="5000"/>
        <w:jc w:val="left"/>
        <w:tblLayout w:type="fixed"/>
        <w:tblLook w:firstRow="1" w:lastRow="0" w:firstColumn="0" w:lastColumn="0" w:noHBand="0" w:noVBand="0" w:val="002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2640"/>
        <w:gridCol w:w="2640"/>
        <w:gridCol w:w="2640"/>
      </w:tblGrid>
      <w:tr>
        <w:trPr>
          <w:tblHeader w:val="on"/>
        </w:trPr>
        <w:tc>
          <w:tcPr/>
          <w:p>
            <w:pPr>
              <w:pStyle w:val="Compact"/>
              <w:spacing w:after="40" w:line="288" w:lineRule="auto"/>
              <w:jc w:val="left"/>
            </w:pPr>
            <w:r>
              <w:rPr>
                <w:rFonts w:ascii="DejaVu Serif" w:hAnsi="DejaVu Serif" w:eastAsia="Noto Sans CJK SC"/>
                <w:color w:val="000000"/>
                <w:sz w:val="19"/>
              </w:rPr>
              <w:t xml:space="preserve">Volume</w:t>
            </w:r>
          </w:p>
        </w:tc>
        <w:tc>
          <w:tcPr/>
          <w:p>
            <w:pPr>
              <w:pStyle w:val="Compact"/>
              <w:spacing w:after="40" w:line="288" w:lineRule="auto"/>
              <w:jc w:val="left"/>
            </w:pPr>
            <w:r>
              <w:rPr>
                <w:rFonts w:ascii="DejaVu Serif" w:hAnsi="DejaVu Serif" w:eastAsia="Noto Sans CJK SC"/>
                <w:color w:val="000000"/>
                <w:sz w:val="19"/>
              </w:rPr>
              <w:t xml:space="preserve">Chapter</w:t>
            </w:r>
          </w:p>
        </w:tc>
        <w:tc>
          <w:tcPr/>
          <w:p>
            <w:pPr>
              <w:pStyle w:val="Compact"/>
              <w:spacing w:after="40" w:line="288" w:lineRule="auto"/>
              <w:jc w:val="left"/>
            </w:pPr>
            <w:r>
              <w:rPr>
                <w:rFonts w:ascii="DejaVu Serif" w:hAnsi="DejaVu Serif" w:eastAsia="Noto Sans CJK SC"/>
                <w:color w:val="000000"/>
                <w:sz w:val="19"/>
              </w:rPr>
              <w:t xml:space="preserve">Corresponding Articles</w:t>
            </w:r>
          </w:p>
        </w:tc>
      </w:tr>
      <w:tr>
        <w:tc>
          <w:tcPr/>
          <w:p>
            <w:pPr>
              <w:pStyle w:val="Compact"/>
              <w:spacing w:after="40" w:line="288" w:lineRule="auto"/>
              <w:jc w:val="left"/>
            </w:pPr>
            <w:r>
              <w:rPr>
                <w:rFonts w:ascii="DejaVu Serif" w:hAnsi="DejaVu Serif" w:eastAsia="Noto Sans CJK SC"/>
                <w:color w:val="000000"/>
                <w:sz w:val="19"/>
              </w:rPr>
              <w:t xml:space="preserve">Volume I</w:t>
            </w:r>
          </w:p>
        </w:tc>
        <w:tc>
          <w:tcPr/>
          <w:p>
            <w:pPr>
              <w:pStyle w:val="Compact"/>
              <w:spacing w:after="40" w:line="288" w:lineRule="auto"/>
              <w:jc w:val="left"/>
            </w:pPr>
            <w:r>
              <w:rPr>
                <w:rFonts w:ascii="DejaVu Serif" w:hAnsi="DejaVu Serif" w:eastAsia="Noto Sans CJK SC"/>
                <w:color w:val="000000"/>
                <w:sz w:val="19"/>
              </w:rPr>
              <w:t xml:space="preserve">General Principles &amp; Purpose</w:t>
            </w:r>
          </w:p>
        </w:tc>
        <w:tc>
          <w:tcPr/>
          <w:p>
            <w:pPr>
              <w:pStyle w:val="Compact"/>
              <w:spacing w:after="40" w:line="288" w:lineRule="auto"/>
              <w:jc w:val="left"/>
            </w:pPr>
            <w:r>
              <w:rPr>
                <w:rFonts w:ascii="DejaVu Serif" w:hAnsi="DejaVu Serif" w:eastAsia="Noto Sans CJK SC"/>
                <w:color w:val="000000"/>
                <w:sz w:val="19"/>
              </w:rPr>
              <w:t xml:space="preserve">Article 1, Article 1-2, Articles 2 through 7</w:t>
            </w:r>
          </w:p>
        </w:tc>
      </w:tr>
      <w:tr>
        <w:tc>
          <w:tcPr/>
          <w:p>
            <w:pPr>
              <w:pStyle w:val="Compact"/>
              <w:spacing w:after="40" w:line="288" w:lineRule="auto"/>
              <w:jc w:val="left"/>
            </w:pPr>
            <w:r>
              <w:rPr>
                <w:rFonts w:ascii="DejaVu Serif" w:hAnsi="DejaVu Serif" w:eastAsia="Noto Sans CJK SC"/>
                <w:color w:val="000000"/>
                <w:sz w:val="19"/>
              </w:rPr>
              <w:t xml:space="preserve">Volume II</w:t>
            </w:r>
          </w:p>
        </w:tc>
        <w:tc>
          <w:tcPr/>
          <w:p>
            <w:pPr>
              <w:pStyle w:val="Compact"/>
              <w:spacing w:after="40" w:line="288" w:lineRule="auto"/>
              <w:jc w:val="left"/>
            </w:pPr>
            <w:r>
              <w:rPr>
                <w:rFonts w:ascii="DejaVu Serif" w:hAnsi="DejaVu Serif" w:eastAsia="Noto Sans CJK SC"/>
                <w:color w:val="000000"/>
                <w:sz w:val="19"/>
              </w:rPr>
              <w:t xml:space="preserve">Ideal Life</w:t>
            </w:r>
          </w:p>
        </w:tc>
        <w:tc>
          <w:tcPr/>
          <w:p>
            <w:pPr>
              <w:pStyle w:val="Compact"/>
              <w:spacing w:after="40" w:line="288" w:lineRule="auto"/>
              <w:jc w:val="left"/>
            </w:pPr>
            <w:r>
              <w:rPr>
                <w:rFonts w:ascii="DejaVu Serif" w:hAnsi="DejaVu Serif" w:eastAsia="Noto Sans CJK SC"/>
                <w:color w:val="000000"/>
                <w:sz w:val="19"/>
              </w:rPr>
              <w:t xml:space="preserve">Article 8 and 2-5 through 2-5, Articles 9 through 11</w:t>
            </w:r>
          </w:p>
        </w:tc>
      </w:tr>
      <w:tr>
        <w:tc>
          <w:tcPr/>
          <w:p>
            <w:pPr>
              <w:pStyle w:val="Compact"/>
              <w:spacing w:after="40" w:line="288" w:lineRule="auto"/>
              <w:jc w:val="left"/>
            </w:pPr>
            <w:r>
              <w:rPr>
                <w:rFonts w:ascii="DejaVu Serif" w:hAnsi="DejaVu Serif" w:eastAsia="Noto Sans CJK SC"/>
                <w:color w:val="000000"/>
                <w:sz w:val="19"/>
              </w:rPr>
              <w:t xml:space="preserve">Volume III</w:t>
            </w:r>
          </w:p>
        </w:tc>
        <w:tc>
          <w:tcPr/>
          <w:p>
            <w:pPr>
              <w:pStyle w:val="Compact"/>
              <w:spacing w:after="40" w:line="288" w:lineRule="auto"/>
              <w:jc w:val="left"/>
            </w:pPr>
            <w:r>
              <w:rPr>
                <w:rFonts w:ascii="DejaVu Serif" w:hAnsi="DejaVu Serif" w:eastAsia="Noto Sans CJK SC"/>
                <w:color w:val="000000"/>
                <w:sz w:val="19"/>
              </w:rPr>
              <w:t xml:space="preserve">Life Bottom Line</w:t>
            </w:r>
          </w:p>
        </w:tc>
        <w:tc>
          <w:tcPr/>
          <w:p>
            <w:pPr>
              <w:pStyle w:val="Compact"/>
              <w:spacing w:after="40" w:line="288" w:lineRule="auto"/>
              <w:jc w:val="left"/>
            </w:pPr>
            <w:r>
              <w:rPr>
                <w:rFonts w:ascii="DejaVu Serif" w:hAnsi="DejaVu Serif" w:eastAsia="Noto Sans CJK SC"/>
                <w:color w:val="000000"/>
                <w:sz w:val="19"/>
              </w:rPr>
              <w:t xml:space="preserve">Articles 12 through 17 (including Articles 13-2 through 13-6)</w:t>
            </w:r>
          </w:p>
        </w:tc>
      </w:tr>
      <w:tr>
        <w:tc>
          <w:tcPr/>
          <w:p>
            <w:pPr>
              <w:pStyle w:val="Compact"/>
              <w:spacing w:after="40" w:line="288" w:lineRule="auto"/>
              <w:jc w:val="left"/>
            </w:pPr>
            <w:r>
              <w:rPr>
                <w:rFonts w:ascii="DejaVu Serif" w:hAnsi="DejaVu Serif" w:eastAsia="Noto Sans CJK SC"/>
                <w:color w:val="000000"/>
                <w:sz w:val="19"/>
              </w:rPr>
              <w:t xml:space="preserve">Volume IV</w:t>
            </w:r>
          </w:p>
        </w:tc>
        <w:tc>
          <w:tcPr/>
          <w:p>
            <w:pPr>
              <w:pStyle w:val="Compact"/>
              <w:spacing w:after="40" w:line="288" w:lineRule="auto"/>
              <w:jc w:val="left"/>
            </w:pPr>
            <w:r>
              <w:rPr>
                <w:rFonts w:ascii="DejaVu Serif" w:hAnsi="DejaVu Serif" w:eastAsia="Noto Sans CJK SC"/>
                <w:color w:val="000000"/>
                <w:sz w:val="19"/>
              </w:rPr>
              <w:t xml:space="preserve">Survival and Core Assets</w:t>
            </w:r>
          </w:p>
        </w:tc>
        <w:tc>
          <w:tcPr/>
          <w:p>
            <w:pPr>
              <w:pStyle w:val="Compact"/>
              <w:spacing w:after="40" w:line="288" w:lineRule="auto"/>
              <w:jc w:val="left"/>
            </w:pPr>
            <w:r>
              <w:rPr>
                <w:rFonts w:ascii="DejaVu Serif" w:hAnsi="DejaVu Serif" w:eastAsia="Noto Sans CJK SC"/>
                <w:color w:val="000000"/>
                <w:sz w:val="19"/>
              </w:rPr>
              <w:t xml:space="preserve">Articles 18 through 31 (including Articles 22-2, 22-3, added 2026-09-25)</w:t>
            </w:r>
          </w:p>
        </w:tc>
      </w:tr>
      <w:tr>
        <w:tc>
          <w:tcPr/>
          <w:p>
            <w:pPr>
              <w:pStyle w:val="Compact"/>
              <w:spacing w:after="40" w:line="288" w:lineRule="auto"/>
              <w:jc w:val="left"/>
            </w:pPr>
            <w:r>
              <w:rPr>
                <w:rFonts w:ascii="DejaVu Serif" w:hAnsi="DejaVu Serif" w:eastAsia="Noto Sans CJK SC"/>
                <w:color w:val="000000"/>
                <w:sz w:val="19"/>
              </w:rPr>
              <w:t xml:space="preserve">Volume V</w:t>
            </w:r>
          </w:p>
        </w:tc>
        <w:tc>
          <w:tcPr/>
          <w:p>
            <w:pPr>
              <w:pStyle w:val="Compact"/>
              <w:spacing w:after="40" w:line="288" w:lineRule="auto"/>
              <w:jc w:val="left"/>
            </w:pPr>
            <w:r>
              <w:rPr>
                <w:rFonts w:ascii="DejaVu Serif" w:hAnsi="DejaVu Serif" w:eastAsia="Noto Sans CJK SC"/>
                <w:color w:val="000000"/>
                <w:sz w:val="19"/>
              </w:rPr>
              <w:t xml:space="preserve">Core Action Principles</w:t>
            </w:r>
          </w:p>
        </w:tc>
        <w:tc>
          <w:tcPr/>
          <w:p>
            <w:pPr>
              <w:pStyle w:val="Compact"/>
              <w:spacing w:after="40" w:line="288" w:lineRule="auto"/>
              <w:jc w:val="left"/>
            </w:pPr>
            <w:r>
              <w:rPr>
                <w:rFonts w:ascii="DejaVu Serif" w:hAnsi="DejaVu Serif" w:eastAsia="Noto Sans CJK SC"/>
                <w:color w:val="000000"/>
                <w:sz w:val="19"/>
              </w:rPr>
              <w:t xml:space="preserve">Articles 32 through 54</w:t>
            </w:r>
          </w:p>
        </w:tc>
      </w:tr>
      <w:tr>
        <w:tc>
          <w:tcPr/>
          <w:p>
            <w:pPr>
              <w:pStyle w:val="Compact"/>
              <w:spacing w:after="40" w:line="288" w:lineRule="auto"/>
              <w:jc w:val="left"/>
            </w:pPr>
            <w:r>
              <w:rPr>
                <w:rFonts w:ascii="DejaVu Serif" w:hAnsi="DejaVu Serif" w:eastAsia="Noto Sans CJK SC"/>
                <w:color w:val="000000"/>
                <w:sz w:val="19"/>
              </w:rPr>
              <w:t xml:space="preserve">Volume VI</w:t>
            </w:r>
          </w:p>
        </w:tc>
        <w:tc>
          <w:tcPr/>
          <w:p>
            <w:pPr>
              <w:pStyle w:val="Compact"/>
              <w:spacing w:after="40" w:line="288" w:lineRule="auto"/>
              <w:jc w:val="left"/>
            </w:pPr>
            <w:r>
              <w:rPr>
                <w:rFonts w:ascii="DejaVu Serif" w:hAnsi="DejaVu Serif" w:eastAsia="Noto Sans CJK SC"/>
                <w:color w:val="000000"/>
                <w:sz w:val="19"/>
              </w:rPr>
              <w:t xml:space="preserve">Enterprise and Operations</w:t>
            </w:r>
          </w:p>
        </w:tc>
        <w:tc>
          <w:tcPr/>
          <w:p>
            <w:pPr>
              <w:pStyle w:val="Compact"/>
              <w:spacing w:after="40" w:line="288" w:lineRule="auto"/>
              <w:jc w:val="left"/>
            </w:pPr>
            <w:r>
              <w:rPr>
                <w:rFonts w:ascii="DejaVu Serif" w:hAnsi="DejaVu Serif" w:eastAsia="Noto Sans CJK SC"/>
                <w:color w:val="000000"/>
                <w:sz w:val="19"/>
              </w:rPr>
              <w:t xml:space="preserve">Articles 55 through 67</w:t>
            </w:r>
          </w:p>
        </w:tc>
      </w:tr>
      <w:tr>
        <w:tc>
          <w:tcPr/>
          <w:p>
            <w:pPr>
              <w:pStyle w:val="Compact"/>
              <w:spacing w:after="40" w:line="288" w:lineRule="auto"/>
              <w:jc w:val="left"/>
            </w:pPr>
            <w:r>
              <w:rPr>
                <w:rFonts w:ascii="DejaVu Serif" w:hAnsi="DejaVu Serif" w:eastAsia="Noto Sans CJK SC"/>
                <w:color w:val="000000"/>
                <w:sz w:val="19"/>
              </w:rPr>
              <w:t xml:space="preserve">Volume VII</w:t>
            </w:r>
          </w:p>
        </w:tc>
        <w:tc>
          <w:tcPr/>
          <w:p>
            <w:pPr>
              <w:pStyle w:val="Compact"/>
              <w:spacing w:after="40" w:line="288" w:lineRule="auto"/>
              <w:jc w:val="left"/>
            </w:pPr>
            <w:r>
              <w:rPr>
                <w:rFonts w:ascii="DejaVu Serif" w:hAnsi="DejaVu Serif" w:eastAsia="Noto Sans CJK SC"/>
                <w:color w:val="000000"/>
                <w:sz w:val="19"/>
              </w:rPr>
              <w:t xml:space="preserve">Debt Liquidation</w:t>
            </w:r>
          </w:p>
        </w:tc>
        <w:tc>
          <w:tcPr/>
          <w:p>
            <w:pPr>
              <w:pStyle w:val="Compact"/>
              <w:spacing w:after="40" w:line="288" w:lineRule="auto"/>
              <w:jc w:val="left"/>
            </w:pPr>
            <w:r>
              <w:rPr>
                <w:rFonts w:ascii="DejaVu Serif" w:hAnsi="DejaVu Serif" w:eastAsia="Noto Sans CJK SC"/>
                <w:color w:val="000000"/>
                <w:sz w:val="19"/>
              </w:rPr>
              <w:t xml:space="preserve">Article 68 and 2-2 through 2-6</w:t>
            </w:r>
          </w:p>
        </w:tc>
      </w:tr>
      <w:tr>
        <w:tc>
          <w:tcPr/>
          <w:p>
            <w:pPr>
              <w:pStyle w:val="Compact"/>
              <w:spacing w:after="40" w:line="288" w:lineRule="auto"/>
              <w:jc w:val="left"/>
            </w:pPr>
            <w:r>
              <w:rPr>
                <w:rFonts w:ascii="DejaVu Serif" w:hAnsi="DejaVu Serif" w:eastAsia="Noto Sans CJK SC"/>
                <w:color w:val="000000"/>
                <w:sz w:val="19"/>
              </w:rPr>
              <w:t xml:space="preserve">Volume VIII</w:t>
            </w:r>
          </w:p>
        </w:tc>
        <w:tc>
          <w:tcPr/>
          <w:p>
            <w:pPr>
              <w:pStyle w:val="Compact"/>
              <w:spacing w:after="40" w:line="288" w:lineRule="auto"/>
              <w:jc w:val="left"/>
            </w:pPr>
            <w:r>
              <w:rPr>
                <w:rFonts w:ascii="DejaVu Serif" w:hAnsi="DejaVu Serif" w:eastAsia="Noto Sans CJK SC"/>
                <w:color w:val="000000"/>
                <w:sz w:val="19"/>
              </w:rPr>
              <w:t xml:space="preserve">Mental Models</w:t>
            </w:r>
          </w:p>
        </w:tc>
        <w:tc>
          <w:tcPr/>
          <w:p>
            <w:pPr>
              <w:pStyle w:val="Compact"/>
              <w:spacing w:after="40" w:line="288" w:lineRule="auto"/>
              <w:jc w:val="left"/>
            </w:pPr>
            <w:r>
              <w:rPr>
                <w:rFonts w:ascii="DejaVu Serif" w:hAnsi="DejaVu Serif" w:eastAsia="Noto Sans CJK SC"/>
                <w:color w:val="000000"/>
                <w:sz w:val="19"/>
              </w:rPr>
              <w:t xml:space="preserve">Articles 69 through 83</w:t>
            </w:r>
          </w:p>
        </w:tc>
      </w:tr>
      <w:tr>
        <w:tc>
          <w:tcPr/>
          <w:p>
            <w:pPr>
              <w:pStyle w:val="Compact"/>
              <w:spacing w:after="40" w:line="288" w:lineRule="auto"/>
              <w:jc w:val="left"/>
            </w:pPr>
            <w:r>
              <w:rPr>
                <w:rFonts w:ascii="DejaVu Serif" w:hAnsi="DejaVu Serif" w:eastAsia="Noto Sans CJK SC"/>
                <w:color w:val="000000"/>
                <w:sz w:val="19"/>
              </w:rPr>
              <w:t xml:space="preserve">Volume IX</w:t>
            </w:r>
          </w:p>
        </w:tc>
        <w:tc>
          <w:tcPr/>
          <w:p>
            <w:pPr>
              <w:pStyle w:val="Compact"/>
              <w:spacing w:after="40" w:line="288" w:lineRule="auto"/>
              <w:jc w:val="left"/>
            </w:pPr>
            <w:r>
              <w:rPr>
                <w:rFonts w:ascii="DejaVu Serif" w:hAnsi="DejaVu Serif" w:eastAsia="Noto Sans CJK SC"/>
                <w:color w:val="000000"/>
                <w:sz w:val="19"/>
              </w:rPr>
              <w:t xml:space="preserve">Civil Activities and Political Neutrality</w:t>
            </w:r>
          </w:p>
        </w:tc>
        <w:tc>
          <w:tcPr/>
          <w:p>
            <w:pPr>
              <w:pStyle w:val="Compact"/>
              <w:spacing w:after="40" w:line="288" w:lineRule="auto"/>
              <w:jc w:val="left"/>
            </w:pPr>
            <w:r>
              <w:rPr>
                <w:rFonts w:ascii="DejaVu Serif" w:hAnsi="DejaVu Serif" w:eastAsia="Noto Sans CJK SC"/>
                <w:color w:val="000000"/>
                <w:sz w:val="19"/>
              </w:rPr>
              <w:t xml:space="preserve">Articles 84 through 99 (including Articles 96-2, 96-3)</w:t>
            </w:r>
          </w:p>
        </w:tc>
      </w:tr>
      <w:tr>
        <w:tc>
          <w:tcPr/>
          <w:p>
            <w:pPr>
              <w:pStyle w:val="Compact"/>
              <w:spacing w:after="40" w:line="288" w:lineRule="auto"/>
              <w:jc w:val="left"/>
            </w:pPr>
            <w:r>
              <w:rPr>
                <w:rFonts w:ascii="DejaVu Serif" w:hAnsi="DejaVu Serif" w:eastAsia="Noto Sans CJK SC"/>
                <w:color w:val="000000"/>
                <w:sz w:val="19"/>
              </w:rPr>
              <w:t xml:space="preserve">Volume X</w:t>
            </w:r>
          </w:p>
        </w:tc>
        <w:tc>
          <w:tcPr/>
          <w:p>
            <w:pPr>
              <w:pStyle w:val="Compact"/>
              <w:spacing w:after="40" w:line="288" w:lineRule="auto"/>
              <w:jc w:val="left"/>
            </w:pPr>
            <w:r>
              <w:rPr>
                <w:rFonts w:ascii="DejaVu Serif" w:hAnsi="DejaVu Serif" w:eastAsia="Noto Sans CJK SC"/>
                <w:color w:val="000000"/>
                <w:sz w:val="19"/>
              </w:rPr>
              <w:t xml:space="preserve">Intellectual Property and Marriage &amp; Family</w:t>
            </w:r>
          </w:p>
        </w:tc>
        <w:tc>
          <w:tcPr/>
          <w:p>
            <w:pPr>
              <w:pStyle w:val="Compact"/>
              <w:spacing w:after="40" w:line="288" w:lineRule="auto"/>
              <w:jc w:val="left"/>
            </w:pPr>
            <w:r>
              <w:rPr>
                <w:rFonts w:ascii="DejaVu Serif" w:hAnsi="DejaVu Serif" w:eastAsia="Noto Sans CJK SC"/>
                <w:color w:val="000000"/>
                <w:sz w:val="19"/>
              </w:rPr>
              <w:t xml:space="preserve">Articles 100 through 106</w:t>
            </w:r>
          </w:p>
        </w:tc>
      </w:tr>
      <w:tr>
        <w:tc>
          <w:tcPr/>
          <w:p>
            <w:pPr>
              <w:pStyle w:val="Compact"/>
              <w:spacing w:after="40" w:line="288" w:lineRule="auto"/>
              <w:jc w:val="left"/>
            </w:pPr>
            <w:r>
              <w:rPr>
                <w:rFonts w:ascii="DejaVu Serif" w:hAnsi="DejaVu Serif" w:eastAsia="Noto Sans CJK SC"/>
                <w:color w:val="000000"/>
                <w:sz w:val="19"/>
              </w:rPr>
              <w:t xml:space="preserve">Volume XI</w:t>
            </w:r>
          </w:p>
        </w:tc>
        <w:tc>
          <w:tcPr/>
          <w:p>
            <w:pPr>
              <w:pStyle w:val="Compact"/>
              <w:spacing w:after="40" w:line="288" w:lineRule="auto"/>
              <w:jc w:val="left"/>
            </w:pPr>
            <w:r>
              <w:rPr>
                <w:rFonts w:ascii="DejaVu Serif" w:hAnsi="DejaVu Serif" w:eastAsia="Noto Sans CJK SC"/>
                <w:color w:val="000000"/>
                <w:sz w:val="19"/>
              </w:rPr>
              <w:t xml:space="preserve">Growth and Iteration</w:t>
            </w:r>
          </w:p>
        </w:tc>
        <w:tc>
          <w:tcPr/>
          <w:p>
            <w:pPr>
              <w:pStyle w:val="Compact"/>
              <w:spacing w:after="40" w:line="288" w:lineRule="auto"/>
              <w:jc w:val="left"/>
            </w:pPr>
            <w:r>
              <w:rPr>
                <w:rFonts w:ascii="DejaVu Serif" w:hAnsi="DejaVu Serif" w:eastAsia="Noto Sans CJK SC"/>
                <w:color w:val="000000"/>
                <w:sz w:val="19"/>
              </w:rPr>
              <w:t xml:space="preserve">Articles 107 through 120</w:t>
            </w:r>
          </w:p>
        </w:tc>
      </w:tr>
      <w:tr>
        <w:tc>
          <w:tcPr/>
          <w:p>
            <w:pPr>
              <w:pStyle w:val="Compact"/>
              <w:spacing w:after="40" w:line="288" w:lineRule="auto"/>
              <w:jc w:val="left"/>
            </w:pPr>
            <w:r>
              <w:rPr>
                <w:rFonts w:ascii="DejaVu Serif" w:hAnsi="DejaVu Serif" w:eastAsia="Noto Sans CJK SC"/>
                <w:color w:val="000000"/>
                <w:sz w:val="19"/>
              </w:rPr>
              <w:t xml:space="preserve">Volume XII</w:t>
            </w:r>
          </w:p>
        </w:tc>
        <w:tc>
          <w:tcPr/>
          <w:p>
            <w:pPr>
              <w:pStyle w:val="Compact"/>
              <w:spacing w:after="40" w:line="288" w:lineRule="auto"/>
              <w:jc w:val="left"/>
            </w:pPr>
            <w:r>
              <w:rPr>
                <w:rFonts w:ascii="DejaVu Serif" w:hAnsi="DejaVu Serif" w:eastAsia="Noto Sans CJK SC"/>
                <w:color w:val="000000"/>
                <w:sz w:val="19"/>
              </w:rPr>
              <w:t xml:space="preserve">Supplementary Provisions and Civilizational Beliefs</w:t>
            </w:r>
          </w:p>
        </w:tc>
        <w:tc>
          <w:tcPr/>
          <w:p>
            <w:pPr>
              <w:pStyle w:val="Compact"/>
              <w:spacing w:after="40" w:line="288" w:lineRule="auto"/>
              <w:jc w:val="left"/>
            </w:pPr>
            <w:r>
              <w:rPr>
                <w:rFonts w:ascii="DejaVu Serif" w:hAnsi="DejaVu Serif" w:eastAsia="Noto Sans CJK SC"/>
                <w:color w:val="000000"/>
                <w:sz w:val="19"/>
              </w:rPr>
              <w:t xml:space="preserve">Articles 121 through 145</w:t>
            </w:r>
          </w:p>
        </w:tc>
      </w:tr>
    </w:tbl>
    <w:bookmarkEnd w:id="23"/>
    <w:bookmarkStart w:id="24" w:name="part-ii-amendment-system"/>
    <w:p>
      <w:pPr>
        <w:pStyle w:val="Heading3"/>
        <w:spacing w:after="120" w:line="312" w:lineRule="auto"/>
        <w:jc w:val="left"/>
      </w:pPr>
      <w:r>
        <w:rPr>
          <w:rFonts w:ascii="DejaVu Serif" w:hAnsi="DejaVu Serif" w:eastAsia="Noto Serif CJK SC"/>
          <w:color w:val="000000"/>
          <w:sz w:val="26"/>
        </w:rPr>
        <w:t xml:space="preserve">Part II Amendment System</w:t>
      </w:r>
    </w:p>
    <w:p>
      <w:pPr>
        <w:pStyle w:val="FirstParagraph"/>
        <w:spacing w:after="120" w:line="312" w:lineRule="auto"/>
      </w:pPr>
      <w:r>
        <w:rPr>
          <w:rFonts w:ascii="DejaVu Serif" w:hAnsi="DejaVu Serif" w:eastAsia="Noto Serif CJK SC"/>
          <w:color w:val="000000"/>
          <w:sz w:val="22"/>
        </w:rPr>
        <w:t xml:space="preserve">Nine items: I. First Amendment; II. Second Amendment; III. Third Amendment; IV.</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Amendment 20240609</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V. Supplementary Amendment on Helping Boundaries; VI. Correction Bill (II); VII. Correction Bill (III) and Annex A.05.001; VIII. Annex A.06.001 Civilizational Rectification Bill; IX. New Principle Article to Article 144.</w:t>
      </w:r>
    </w:p>
    <w:bookmarkEnd w:id="24"/>
    <w:bookmarkStart w:id="25" w:name="part-iii-annex-system"/>
    <w:p>
      <w:pPr>
        <w:pStyle w:val="Heading3"/>
        <w:spacing w:after="120" w:line="312" w:lineRule="auto"/>
        <w:jc w:val="left"/>
      </w:pPr>
      <w:r>
        <w:rPr>
          <w:rFonts w:ascii="DejaVu Serif" w:hAnsi="DejaVu Serif" w:eastAsia="Noto Serif CJK SC"/>
          <w:color w:val="000000"/>
          <w:sz w:val="26"/>
        </w:rPr>
        <w:t xml:space="preserve">Part III Annex System</w:t>
      </w:r>
    </w:p>
    <w:tbl>
      <w:tblPr>
        <w:tblStyle w:val="Table"/>
        <w:tblW w:type="pct" w:w="5000"/>
        <w:jc w:val="left"/>
        <w:tblLayout w:type="fixed"/>
        <w:tblLook w:firstRow="1" w:lastRow="0" w:firstColumn="0" w:lastColumn="0" w:noHBand="0" w:noVBand="0" w:val="002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2640"/>
        <w:gridCol w:w="2640"/>
        <w:gridCol w:w="2640"/>
      </w:tblGrid>
      <w:tr>
        <w:trPr>
          <w:tblHeader w:val="on"/>
        </w:trPr>
        <w:tc>
          <w:tcPr/>
          <w:p>
            <w:pPr>
              <w:pStyle w:val="Compact"/>
              <w:spacing w:after="40" w:line="288" w:lineRule="auto"/>
              <w:jc w:val="left"/>
            </w:pPr>
            <w:r>
              <w:rPr>
                <w:rFonts w:ascii="DejaVu Serif" w:hAnsi="DejaVu Serif" w:eastAsia="Noto Sans CJK SC"/>
                <w:color w:val="000000"/>
                <w:sz w:val="19"/>
              </w:rPr>
              <w:t xml:space="preserve">Volume</w:t>
            </w:r>
          </w:p>
        </w:tc>
        <w:tc>
          <w:tcPr/>
          <w:p>
            <w:pPr>
              <w:pStyle w:val="Compact"/>
              <w:spacing w:after="40" w:line="288" w:lineRule="auto"/>
              <w:jc w:val="left"/>
            </w:pPr>
            <w:r>
              <w:rPr>
                <w:rFonts w:ascii="DejaVu Serif" w:hAnsi="DejaVu Serif" w:eastAsia="Noto Sans CJK SC"/>
                <w:color w:val="000000"/>
                <w:sz w:val="19"/>
              </w:rPr>
              <w:t xml:space="preserve">Series</w:t>
            </w:r>
          </w:p>
        </w:tc>
        <w:tc>
          <w:tcPr/>
          <w:p>
            <w:pPr>
              <w:pStyle w:val="Compact"/>
              <w:spacing w:after="40" w:line="288" w:lineRule="auto"/>
              <w:jc w:val="left"/>
            </w:pPr>
            <w:r>
              <w:rPr>
                <w:rFonts w:ascii="DejaVu Serif" w:hAnsi="DejaVu Serif" w:eastAsia="Noto Sans CJK SC"/>
                <w:color w:val="000000"/>
                <w:sz w:val="19"/>
              </w:rPr>
              <w:t xml:space="preserve">Annex</w:t>
            </w:r>
          </w:p>
        </w:tc>
      </w:tr>
      <w:tr>
        <w:tc>
          <w:tcPr/>
          <w:p>
            <w:pPr>
              <w:pStyle w:val="Compact"/>
              <w:spacing w:after="40" w:line="288" w:lineRule="auto"/>
              <w:jc w:val="left"/>
            </w:pPr>
            <w:r>
              <w:rPr>
                <w:rFonts w:ascii="DejaVu Serif" w:hAnsi="DejaVu Serif" w:eastAsia="Noto Sans CJK SC"/>
                <w:color w:val="000000"/>
                <w:sz w:val="19"/>
              </w:rPr>
              <w:t xml:space="preserve">Volume I</w:t>
            </w:r>
          </w:p>
        </w:tc>
        <w:tc>
          <w:tcPr/>
          <w:p>
            <w:pPr>
              <w:pStyle w:val="Compact"/>
              <w:spacing w:after="40" w:line="288" w:lineRule="auto"/>
              <w:jc w:val="left"/>
            </w:pPr>
            <w:r>
              <w:rPr>
                <w:rFonts w:ascii="DejaVu Serif" w:hAnsi="DejaVu Serif" w:eastAsia="Noto Sans CJK SC"/>
                <w:color w:val="000000"/>
                <w:sz w:val="19"/>
              </w:rPr>
              <w:t xml:space="preserve">Series A</w:t>
            </w:r>
          </w:p>
        </w:tc>
        <w:tc>
          <w:tcPr/>
          <w:p>
            <w:pPr>
              <w:pStyle w:val="Compact"/>
              <w:spacing w:after="40" w:line="288" w:lineRule="auto"/>
              <w:jc w:val="left"/>
            </w:pPr>
            <w:r>
              <w:rPr>
                <w:rFonts w:ascii="DejaVu Serif" w:hAnsi="DejaVu Serif" w:eastAsia="Noto Sans CJK SC"/>
                <w:color w:val="000000"/>
                <w:sz w:val="19"/>
              </w:rPr>
              <w:t xml:space="preserve">A.01.001, A.02.001, A.04.001, A.05.001, A.06.001, A.07.001, A.07.001-A1, A.08.001</w:t>
            </w:r>
          </w:p>
        </w:tc>
      </w:tr>
      <w:tr>
        <w:tc>
          <w:tcPr/>
          <w:p>
            <w:pPr>
              <w:pStyle w:val="Compact"/>
              <w:spacing w:after="40" w:line="288" w:lineRule="auto"/>
              <w:jc w:val="left"/>
            </w:pPr>
            <w:r>
              <w:rPr>
                <w:rFonts w:ascii="DejaVu Serif" w:hAnsi="DejaVu Serif" w:eastAsia="Noto Sans CJK SC"/>
                <w:color w:val="000000"/>
                <w:sz w:val="19"/>
              </w:rPr>
              <w:t xml:space="preserve">Volume II</w:t>
            </w:r>
          </w:p>
        </w:tc>
        <w:tc>
          <w:tcPr/>
          <w:p>
            <w:pPr>
              <w:pStyle w:val="Compact"/>
              <w:spacing w:after="40" w:line="288" w:lineRule="auto"/>
              <w:jc w:val="left"/>
            </w:pPr>
            <w:r>
              <w:rPr>
                <w:rFonts w:ascii="DejaVu Serif" w:hAnsi="DejaVu Serif" w:eastAsia="Noto Sans CJK SC"/>
                <w:color w:val="000000"/>
                <w:sz w:val="19"/>
              </w:rPr>
              <w:t xml:space="preserve">Series B</w:t>
            </w:r>
          </w:p>
        </w:tc>
        <w:tc>
          <w:tcPr/>
          <w:p>
            <w:pPr>
              <w:pStyle w:val="Compact"/>
              <w:spacing w:after="40" w:line="288" w:lineRule="auto"/>
              <w:jc w:val="left"/>
            </w:pPr>
            <w:r>
              <w:rPr>
                <w:rFonts w:ascii="DejaVu Serif" w:hAnsi="DejaVu Serif" w:eastAsia="Noto Sans CJK SC"/>
                <w:color w:val="000000"/>
                <w:sz w:val="19"/>
              </w:rPr>
              <w:t xml:space="preserve">B.01.001, B.02.001</w:t>
            </w:r>
          </w:p>
        </w:tc>
      </w:tr>
      <w:tr>
        <w:tc>
          <w:tcPr/>
          <w:p>
            <w:pPr>
              <w:pStyle w:val="Compact"/>
              <w:spacing w:after="40" w:line="288" w:lineRule="auto"/>
              <w:jc w:val="left"/>
            </w:pPr>
            <w:r>
              <w:rPr>
                <w:rFonts w:ascii="DejaVu Serif" w:hAnsi="DejaVu Serif" w:eastAsia="Noto Sans CJK SC"/>
                <w:color w:val="000000"/>
                <w:sz w:val="19"/>
              </w:rPr>
              <w:t xml:space="preserve">Volume III</w:t>
            </w:r>
          </w:p>
        </w:tc>
        <w:tc>
          <w:tcPr/>
          <w:p>
            <w:pPr>
              <w:pStyle w:val="Compact"/>
              <w:spacing w:after="40" w:line="288" w:lineRule="auto"/>
              <w:jc w:val="left"/>
            </w:pPr>
            <w:r>
              <w:rPr>
                <w:rFonts w:ascii="DejaVu Serif" w:hAnsi="DejaVu Serif" w:eastAsia="Noto Sans CJK SC"/>
                <w:color w:val="000000"/>
                <w:sz w:val="19"/>
              </w:rPr>
              <w:t xml:space="preserve">Series C</w:t>
            </w:r>
          </w:p>
        </w:tc>
        <w:tc>
          <w:tcPr/>
          <w:p>
            <w:pPr>
              <w:pStyle w:val="Compact"/>
              <w:spacing w:after="40" w:line="288" w:lineRule="auto"/>
              <w:jc w:val="left"/>
            </w:pPr>
            <w:r>
              <w:rPr>
                <w:rFonts w:ascii="DejaVu Serif" w:hAnsi="DejaVu Serif" w:eastAsia="Noto Sans CJK SC"/>
                <w:color w:val="000000"/>
                <w:sz w:val="19"/>
              </w:rPr>
              <w:t xml:space="preserve">C.01.001, C.02.001, C.03.001</w:t>
            </w:r>
          </w:p>
        </w:tc>
      </w:tr>
      <w:tr>
        <w:tc>
          <w:tcPr/>
          <w:p>
            <w:pPr>
              <w:pStyle w:val="Compact"/>
              <w:spacing w:after="40" w:line="288" w:lineRule="auto"/>
              <w:jc w:val="left"/>
            </w:pPr>
            <w:r>
              <w:rPr>
                <w:rFonts w:ascii="DejaVu Serif" w:hAnsi="DejaVu Serif" w:eastAsia="Noto Sans CJK SC"/>
                <w:color w:val="000000"/>
                <w:sz w:val="19"/>
              </w:rPr>
              <w:t xml:space="preserve">Volume IV</w:t>
            </w:r>
          </w:p>
        </w:tc>
        <w:tc>
          <w:tcPr/>
          <w:p>
            <w:pPr>
              <w:pStyle w:val="Compact"/>
              <w:spacing w:after="40" w:line="288" w:lineRule="auto"/>
              <w:jc w:val="left"/>
            </w:pPr>
            <w:r>
              <w:rPr>
                <w:rFonts w:ascii="DejaVu Serif" w:hAnsi="DejaVu Serif" w:eastAsia="Noto Sans CJK SC"/>
                <w:color w:val="000000"/>
                <w:sz w:val="19"/>
              </w:rPr>
              <w:t xml:space="preserve">Series D</w:t>
            </w:r>
          </w:p>
        </w:tc>
        <w:tc>
          <w:tcPr/>
          <w:p>
            <w:pPr>
              <w:pStyle w:val="Compact"/>
              <w:spacing w:after="40" w:line="288" w:lineRule="auto"/>
              <w:jc w:val="left"/>
            </w:pPr>
            <w:r>
              <w:rPr>
                <w:rFonts w:ascii="DejaVu Serif" w:hAnsi="DejaVu Serif" w:eastAsia="Noto Sans CJK SC"/>
                <w:color w:val="000000"/>
                <w:sz w:val="19"/>
              </w:rPr>
              <w:t xml:space="preserve">D.01.001, D.02.001</w:t>
            </w:r>
          </w:p>
        </w:tc>
      </w:tr>
      <w:tr>
        <w:tc>
          <w:tcPr/>
          <w:p>
            <w:pPr>
              <w:pStyle w:val="Compact"/>
              <w:spacing w:after="40" w:line="288" w:lineRule="auto"/>
              <w:jc w:val="left"/>
            </w:pPr>
            <w:r>
              <w:rPr>
                <w:rFonts w:ascii="DejaVu Serif" w:hAnsi="DejaVu Serif" w:eastAsia="Noto Sans CJK SC"/>
                <w:color w:val="000000"/>
                <w:sz w:val="19"/>
              </w:rPr>
              <w:t xml:space="preserve">Volume V</w:t>
            </w:r>
          </w:p>
        </w:tc>
        <w:tc>
          <w:tcPr/>
          <w:p>
            <w:pPr>
              <w:pStyle w:val="Compact"/>
              <w:spacing w:after="40" w:line="288" w:lineRule="auto"/>
              <w:jc w:val="left"/>
            </w:pPr>
            <w:r>
              <w:rPr>
                <w:rFonts w:ascii="DejaVu Serif" w:hAnsi="DejaVu Serif" w:eastAsia="Noto Sans CJK SC"/>
                <w:color w:val="000000"/>
                <w:sz w:val="19"/>
              </w:rPr>
              <w:t xml:space="preserve">Series E</w:t>
            </w:r>
          </w:p>
        </w:tc>
        <w:tc>
          <w:tcPr/>
          <w:p>
            <w:pPr>
              <w:pStyle w:val="Compact"/>
              <w:spacing w:after="40" w:line="288" w:lineRule="auto"/>
              <w:jc w:val="left"/>
            </w:pPr>
            <w:r>
              <w:rPr>
                <w:rFonts w:ascii="DejaVu Serif" w:hAnsi="DejaVu Serif" w:eastAsia="Noto Sans CJK SC"/>
                <w:color w:val="000000"/>
                <w:sz w:val="19"/>
              </w:rPr>
              <w:t xml:space="preserve">E.01.001</w:t>
            </w:r>
          </w:p>
        </w:tc>
      </w:tr>
      <w:tr>
        <w:tc>
          <w:tcPr/>
          <w:p>
            <w:pPr>
              <w:pStyle w:val="Compact"/>
              <w:spacing w:after="40" w:line="288" w:lineRule="auto"/>
              <w:jc w:val="left"/>
            </w:pPr>
            <w:r>
              <w:rPr>
                <w:rFonts w:ascii="DejaVu Serif" w:hAnsi="DejaVu Serif" w:eastAsia="Noto Sans CJK SC"/>
                <w:color w:val="000000"/>
                <w:sz w:val="19"/>
              </w:rPr>
              <w:t xml:space="preserve">Volume VI</w:t>
            </w:r>
          </w:p>
        </w:tc>
        <w:tc>
          <w:tcPr/>
          <w:p>
            <w:pPr>
              <w:pStyle w:val="Compact"/>
              <w:spacing w:after="40" w:line="288" w:lineRule="auto"/>
              <w:jc w:val="left"/>
            </w:pPr>
            <w:r>
              <w:rPr>
                <w:rFonts w:ascii="DejaVu Serif" w:hAnsi="DejaVu Serif" w:eastAsia="Noto Sans CJK SC"/>
                <w:color w:val="000000"/>
                <w:sz w:val="19"/>
              </w:rPr>
              <w:t xml:space="preserve">Series F</w:t>
            </w:r>
          </w:p>
        </w:tc>
        <w:tc>
          <w:tcPr/>
          <w:p>
            <w:pPr>
              <w:pStyle w:val="Compact"/>
              <w:spacing w:after="40" w:line="288" w:lineRule="auto"/>
              <w:jc w:val="left"/>
            </w:pPr>
            <w:r>
              <w:rPr>
                <w:rFonts w:ascii="DejaVu Serif" w:hAnsi="DejaVu Serif" w:eastAsia="Noto Sans CJK SC"/>
                <w:color w:val="000000"/>
                <w:sz w:val="19"/>
              </w:rPr>
              <w:t xml:space="preserve">F.01.001</w:t>
            </w:r>
          </w:p>
        </w:tc>
      </w:tr>
      <w:tr>
        <w:tc>
          <w:tcPr/>
          <w:p>
            <w:pPr>
              <w:pStyle w:val="Compact"/>
              <w:spacing w:after="40" w:line="288" w:lineRule="auto"/>
              <w:jc w:val="left"/>
            </w:pPr>
            <w:r>
              <w:rPr>
                <w:rFonts w:ascii="DejaVu Serif" w:hAnsi="DejaVu Serif" w:eastAsia="Noto Sans CJK SC"/>
                <w:color w:val="000000"/>
                <w:sz w:val="19"/>
              </w:rPr>
              <w:t xml:space="preserve">Volume VII</w:t>
            </w:r>
          </w:p>
        </w:tc>
        <w:tc>
          <w:tcPr/>
          <w:p>
            <w:pPr>
              <w:pStyle w:val="Compact"/>
              <w:spacing w:after="40" w:line="288" w:lineRule="auto"/>
              <w:jc w:val="left"/>
            </w:pPr>
            <w:r>
              <w:rPr>
                <w:rFonts w:ascii="DejaVu Serif" w:hAnsi="DejaVu Serif" w:eastAsia="Noto Sans CJK SC"/>
                <w:color w:val="000000"/>
                <w:sz w:val="19"/>
              </w:rPr>
              <w:t xml:space="preserve">Series G</w:t>
            </w:r>
          </w:p>
        </w:tc>
        <w:tc>
          <w:tcPr/>
          <w:p>
            <w:pPr>
              <w:pStyle w:val="Compact"/>
              <w:spacing w:after="40" w:line="288" w:lineRule="auto"/>
              <w:jc w:val="left"/>
            </w:pPr>
            <w:r>
              <w:rPr>
                <w:rFonts w:ascii="DejaVu Serif" w:hAnsi="DejaVu Serif" w:eastAsia="Noto Sans CJK SC"/>
                <w:color w:val="000000"/>
                <w:sz w:val="19"/>
              </w:rPr>
              <w:t xml:space="preserve">G.01.001</w:t>
            </w:r>
          </w:p>
        </w:tc>
      </w:tr>
      <w:tr>
        <w:tc>
          <w:tcPr/>
          <w:p>
            <w:pPr>
              <w:pStyle w:val="Compact"/>
              <w:spacing w:after="40" w:line="288" w:lineRule="auto"/>
              <w:jc w:val="left"/>
            </w:pPr>
            <w:r>
              <w:rPr>
                <w:rFonts w:ascii="DejaVu Serif" w:hAnsi="DejaVu Serif" w:eastAsia="Noto Sans CJK SC"/>
                <w:color w:val="000000"/>
                <w:sz w:val="19"/>
              </w:rPr>
              <w:t xml:space="preserve">Volume VIII</w:t>
            </w:r>
          </w:p>
        </w:tc>
        <w:tc>
          <w:tcPr/>
          <w:p>
            <w:pPr>
              <w:pStyle w:val="Compact"/>
              <w:spacing w:after="40" w:line="288" w:lineRule="auto"/>
              <w:jc w:val="left"/>
            </w:pPr>
            <w:r>
              <w:rPr>
                <w:rFonts w:ascii="DejaVu Serif" w:hAnsi="DejaVu Serif" w:eastAsia="Noto Sans CJK SC"/>
                <w:color w:val="000000"/>
                <w:sz w:val="19"/>
              </w:rPr>
              <w:t xml:space="preserve">Series H</w:t>
            </w:r>
          </w:p>
        </w:tc>
        <w:tc>
          <w:tcPr/>
          <w:p>
            <w:pPr>
              <w:pStyle w:val="Compact"/>
              <w:spacing w:after="40" w:line="288" w:lineRule="auto"/>
              <w:jc w:val="left"/>
            </w:pPr>
            <w:r>
              <w:rPr>
                <w:rFonts w:ascii="DejaVu Serif" w:hAnsi="DejaVu Serif" w:eastAsia="Noto Sans CJK SC"/>
                <w:color w:val="000000"/>
                <w:sz w:val="19"/>
              </w:rPr>
              <w:t xml:space="preserve">H.01.001</w:t>
            </w:r>
          </w:p>
        </w:tc>
      </w:tr>
      <w:tr>
        <w:tc>
          <w:tcPr/>
          <w:p>
            <w:pPr>
              <w:pStyle w:val="Compact"/>
              <w:spacing w:after="40" w:line="288" w:lineRule="auto"/>
              <w:jc w:val="left"/>
            </w:pPr>
            <w:r>
              <w:rPr>
                <w:rFonts w:ascii="DejaVu Serif" w:hAnsi="DejaVu Serif" w:eastAsia="Noto Sans CJK SC"/>
                <w:color w:val="000000"/>
                <w:sz w:val="19"/>
              </w:rPr>
              <w:t xml:space="preserve">Volume IX</w:t>
            </w:r>
          </w:p>
        </w:tc>
        <w:tc>
          <w:tcPr/>
          <w:p>
            <w:pPr>
              <w:pStyle w:val="Compact"/>
              <w:spacing w:after="40" w:line="288" w:lineRule="auto"/>
              <w:jc w:val="left"/>
            </w:pPr>
            <w:r>
              <w:rPr>
                <w:rFonts w:ascii="DejaVu Serif" w:hAnsi="DejaVu Serif" w:eastAsia="Noto Sans CJK SC"/>
                <w:color w:val="000000"/>
                <w:sz w:val="19"/>
              </w:rPr>
              <w:t xml:space="preserve">System Connection</w:t>
            </w:r>
          </w:p>
        </w:tc>
        <w:tc>
          <w:tcPr/>
          <w:p>
            <w:pPr>
              <w:pStyle w:val="Compact"/>
              <w:spacing w:after="40" w:line="288" w:lineRule="auto"/>
              <w:jc w:val="left"/>
            </w:pPr>
            <w:r>
              <w:rPr>
                <w:rFonts w:ascii="DejaVu Serif" w:hAnsi="DejaVu Serif" w:eastAsia="Noto Sans CJK SC"/>
                <w:color w:val="000000"/>
                <w:sz w:val="19"/>
              </w:rPr>
              <w:t xml:space="preserve">Purpose and Preamble, New Principle Article to Article 144</w:t>
            </w:r>
          </w:p>
        </w:tc>
      </w:tr>
    </w:tbl>
    <w:p>
      <w:pPr>
        <w:spacing w:after="120" w:line="312" w:lineRule="auto"/>
      </w:pPr>
      <w:r>
        <w:rPr>
          <w:rFonts w:ascii="DejaVu Serif" w:hAnsi="DejaVu Serif" w:eastAsia="Noto Serif CJK SC"/>
          <w:color w:val="000000"/>
          <w:sz w:val="22"/>
        </w:rPr>
        <w:pict>
          <v:rect style="width:0;height:1.5pt" o:hralign="center" o:hrstd="t" o:hr="t"/>
        </w:pict>
      </w:r>
    </w:p>
    <w:p>
      <w:pPr>
        <w:spacing w:after="120" w:line="312" w:lineRule="auto"/>
      </w:pPr>
      <w:r>
        <w:rPr>
          <w:rFonts w:ascii="DejaVu Serif" w:hAnsi="DejaVu Serif" w:eastAsia="Noto Serif CJK SC"/>
          <w:color w:val="000000"/>
          <w:sz w:val="22"/>
        </w:rPr>
        <w:pict>
          <v:rect style="width:0;height:1.5pt" o:hralign="center" o:hrstd="t" o:hr="t"/>
        </w:pict>
      </w:r>
    </w:p>
    <w:bookmarkEnd w:id="25"/>
    <w:bookmarkEnd w:id="26"/>
    <w:bookmarkEnd w:id="27"/>
    <w:bookmarkStart w:id="191" w:name="Xae46c1e7d8995b72517489824ce732898101b69"/>
    <w:p>
      <w:pPr>
        <w:pStyle w:val="Heading1"/>
        <w:spacing w:after="240" w:line="312" w:lineRule="auto"/>
        <w:jc w:val="center"/>
      </w:pPr>
      <w:r>
        <w:rPr>
          <w:rFonts w:ascii="DejaVu Serif" w:hAnsi="DejaVu Serif" w:eastAsia="Noto Serif CJK SC"/>
          <w:color w:val="000000"/>
          <w:sz w:val="34"/>
        </w:rPr>
        <w:t xml:space="preserve">Part I Main Text (with Sub-commentary Annotations for Each Article)</w:t>
      </w:r>
    </w:p>
    <w:p>
      <w:pPr>
        <w:pStyle w:val="FirstParagraph"/>
        <w:spacing w:after="120" w:line="312" w:lineRule="auto"/>
      </w:pPr>
      <w:r>
        <w:rPr>
          <w:rFonts w:ascii="DejaVu Serif" w:hAnsi="DejaVu Serif" w:eastAsia="Noto Serif CJK SC"/>
          <w:color w:val="000000"/>
          <w:sz w:val="22"/>
        </w:rPr>
        <w:t xml:space="preserve">Aaron Suen</w:t>
      </w:r>
    </w:p>
    <w:p>
      <w:pPr>
        <w:pStyle w:val="BodyText"/>
        <w:spacing w:after="120" w:line="312" w:lineRule="auto"/>
      </w:pPr>
      <w:r>
        <w:rPr>
          <w:rFonts w:ascii="DejaVu Serif" w:hAnsi="DejaVu Serif" w:eastAsia="Noto Serif CJK SC"/>
          <w:color w:val="000000"/>
          <w:sz w:val="22"/>
        </w:rPr>
        <w:t xml:space="preserve">the 60th Principled Final Correction to the Charter of Life Action</w:t>
      </w:r>
    </w:p>
    <w:p>
      <w:pPr>
        <w:pStyle w:val="BodyText"/>
        <w:spacing w:after="120" w:line="312" w:lineRule="auto"/>
      </w:pPr>
      <w:r>
        <w:rPr>
          <w:rFonts w:ascii="DejaVu Serif" w:hAnsi="DejaVu Serif" w:eastAsia="Noto Serif CJK SC"/>
          <w:color w:val="000000"/>
          <w:sz w:val="22"/>
        </w:rPr>
        <w:t xml:space="preserve">Aaron Suen 2022-8-13 Cosmic, Globalized and Internationalized Charter of Life Action (the 60th Principled Final Correction) i Aaron Suen Charter of Life Action the 60th Principled Final Correction</w:t>
      </w:r>
    </w:p>
    <w:bookmarkStart w:id="28" w:name="article-1-purposes-of-the-charter"/>
    <w:p>
      <w:pPr>
        <w:pStyle w:val="Heading3"/>
        <w:spacing w:after="120" w:line="312" w:lineRule="auto"/>
        <w:jc w:val="left"/>
      </w:pPr>
      <w:r>
        <w:rPr>
          <w:rFonts w:ascii="DejaVu Serif" w:hAnsi="DejaVu Serif" w:eastAsia="Noto Serif CJK SC"/>
          <w:color w:val="000000"/>
          <w:sz w:val="26"/>
        </w:rPr>
        <w:t xml:space="preserve">Article 1 【Purposes of the Charter】</w:t>
      </w:r>
    </w:p>
    <w:p>
      <w:pPr>
        <w:pStyle w:val="FirstParagraph"/>
        <w:spacing w:after="120" w:line="312" w:lineRule="auto"/>
      </w:pPr>
      <w:r>
        <w:rPr>
          <w:rFonts w:ascii="DejaVu Serif" w:hAnsi="DejaVu Serif" w:eastAsia="Noto Serif CJK SC"/>
          <w:color w:val="000000"/>
          <w:sz w:val="22"/>
        </w:rPr>
        <w:t xml:space="preserve">To clearly establish the life direction of the Charter-Maker of this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Charter of Life Action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(hereinafter referred to as this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Charter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Charter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to firmly follow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Yujun-Characteristic Cosmism</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path of life development, and to minimize the external influence on the life trajectory of the person to whom the Charter applies to the minimum necessary extent; based on the Charter-Maker’s life vision, aspirations, life dreams, ideals, ultimate identity, life mission, personal values, and principles of minimalism and logic, this constitutional charter is hereby enacted.</w:t>
      </w:r>
    </w:p>
    <w:tbl>
      <w:tblPr>
        <w:tblStyle w:val="Table"/>
        <w:tblW w:type="pct" w:w="5005"/>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7"/>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To clearly establish the life direction of the Charter-Maker of this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Charter of Life Action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(hereinafter referred to as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this Charter</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Charter</w:t>
            </w:r>
            <w:r>
              <w:rPr>
                <w:rFonts w:ascii="DejaVu Serif" w:hAnsi="DejaVu Serif" w:eastAsia="Noto Sans CJK SC"/>
                <w:color w:val="000000"/>
                <w:sz w:val="19"/>
              </w:rPr>
              <w:t xml:space="preserve">”</w:t>
            </w:r>
            <w:r>
              <w:rPr>
                <w:rFonts w:ascii="DejaVu Serif" w:hAnsi="DejaVu Serif" w:eastAsia="Noto Sans CJK SC"/>
                <w:color w:val="000000"/>
                <w:sz w:val="19"/>
              </w:rPr>
              <w:t xml:space="preserve">), to firmly follow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Yujun-Characteristic Cosmism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life development path, and to minimize the influence of external factors on the life trajectory of the person to whom the Charter applies to the minimum necessary extent; based on the Charter-Maker’s life prospects, vision, life dreams, ideals, ultimate goal identity, life mission, personal values, and the principles of minimalism and logic, this constitutional charter is hereby enacted.</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Sub-commentary: This Article serves as the general principle of the entire Charter, clarifying the reasons for its enactment and its purpose. The Charter is not a state law, nor is it imposed by others; it is the fundamental law enacted by a</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sovereign individual</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for their own life. Its enactment has three meanings: first, to</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establish direction</w:t>
            </w:r>
            <w:r>
              <w:rPr>
                <w:rFonts w:ascii="DejaVu Serif" w:hAnsi="DejaVu Serif" w:eastAsia="Noto Sans CJK SC"/>
                <w:color w:val="000000"/>
                <w:sz w:val="19"/>
              </w:rPr>
              <w:t xml:space="preserve">—to clearly define the direction of life’s progress for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self</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(i.e.,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Yujun-Characteristic Cosmism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life development path); second, to</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establish sovereignty</w:t>
            </w:r>
            <w:r>
              <w:rPr>
                <w:rFonts w:ascii="DejaVu Serif" w:hAnsi="DejaVu Serif" w:eastAsia="Noto Sans CJK SC"/>
                <w:color w:val="000000"/>
                <w:sz w:val="19"/>
              </w:rPr>
              <w:t xml:space="preserve">—to reduce the influence of external factors on one’s life trajectory to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minimum necessary extent,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which is the origin of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minimum necessary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principle throughout this document; third, to</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establish basis</w:t>
            </w:r>
            <w:r>
              <w:rPr>
                <w:rFonts w:ascii="DejaVu Serif" w:hAnsi="DejaVu Serif" w:eastAsia="Noto Sans CJK SC"/>
                <w:color w:val="000000"/>
                <w:sz w:val="19"/>
              </w:rPr>
              <w:t xml:space="preserve">—to list the various foundations for constitutional enactment: life prospects, vision, dreams, ideals, ultimate goal identity, mission, values, minimalism, and logic. By stating the purpose at the outset, it establishes the Charter-Maker as both the legislator and sovereign of their own life.</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Yujun-Characteristic Cosmism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the proper name for this life path, formed by combining the characters of the Charter-Maker’s given name (Yujun) with the concept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Cosmism,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signifying its unique path of transcending national identity and positioning oneself as a cosmic citizen, which is mutually complementary with Article 7 【Universal Cosmic Citizen Concept】. The phrase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to reduce the influence of external factors… to the minimum necessary extent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represents the general spirit of all prohibitive and self-determination clauses in the Charter: any external intervention, evaluation, or interference that is not</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minimum necessary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shall be excluded.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Minimalism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not merely a lifestyle but also a methodology for constitutional enactment—removing the superfluous to preserve the essential, simplifying the complex.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principle of logic</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connected to</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essentialism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first principles,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forming the基调 of this Charter in using objective reason to govern subjective desires.</w:t>
            </w:r>
          </w:p>
        </w:tc>
      </w:tr>
      <w:tr>
        <w:tc>
          <w:tcPr/>
          <w:p>
            <w:pPr>
              <w:pStyle w:val="Compact"/>
              <w:spacing w:after="40" w:line="288" w:lineRule="auto"/>
              <w:jc w:val="left"/>
            </w:pPr>
            <w:r>
              <w:rPr>
                <w:rFonts w:ascii="DejaVu Serif" w:hAnsi="DejaVu Serif" w:eastAsia="Noto Sans CJK SC"/>
                <w:b/>
                <w:bCs/>
                <w:color w:val="C00000"/>
                <w:sz w:val="19"/>
              </w:rPr>
              <w:t xml:space="preserve">【Question】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Since the Charter is established for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self,</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does its effect extend only to the Charter-Maker alone, or does it also bind others?</w:t>
            </w:r>
          </w:p>
        </w:tc>
      </w:tr>
      <w:tr>
        <w:tc>
          <w:tcPr/>
          <w:p>
            <w:pPr>
              <w:pStyle w:val="Compact"/>
              <w:spacing w:after="40" w:line="288" w:lineRule="auto"/>
              <w:jc w:val="left"/>
            </w:pPr>
            <w:r>
              <w:rPr>
                <w:rFonts w:ascii="DejaVu Serif" w:hAnsi="DejaVu Serif" w:eastAsia="Noto Sans CJK SC"/>
                <w:b/>
                <w:bCs/>
                <w:color w:val="C00000"/>
                <w:sz w:val="19"/>
              </w:rPr>
              <w:t xml:space="preserve">【Answer】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Charter is a charter of self-constraint for the Charter-Maker, and the bearer of its obligations is only the Charter-Maker themself; others are not bound by this Charter, nor may they claim rights against the Charter-Maker based on this Charter. However, when the Charter-Maker engages in external interactions and acts according to their own bottom lines and principles, the spirit of the Charter naturally extends to all their actions.</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1-2 【Highest Programmatic Ideal】, Article 7 【Universal Cosmic Citizen Concept】, Article 33 【First Principle of Personal Values, Principle of Maximum Self-Determination】, Article 121 【Scope of Application of This Charter】, Article 127 【Effective Date of the Charter】.</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28"/>
    <w:bookmarkStart w:id="29" w:name="article-1-2-supreme-programmatic-ideal"/>
    <w:p>
      <w:pPr>
        <w:pStyle w:val="Heading3"/>
        <w:spacing w:after="120" w:line="312" w:lineRule="auto"/>
        <w:jc w:val="left"/>
      </w:pPr>
      <w:r>
        <w:rPr>
          <w:rFonts w:ascii="DejaVu Serif" w:hAnsi="DejaVu Serif" w:eastAsia="Noto Serif CJK SC"/>
          <w:color w:val="000000"/>
          <w:sz w:val="26"/>
        </w:rPr>
        <w:t xml:space="preserve">Article 1-2 【Supreme Programmatic Ideal】</w:t>
      </w:r>
    </w:p>
    <w:p>
      <w:pPr>
        <w:pStyle w:val="FirstParagraph"/>
        <w:spacing w:after="120" w:line="312" w:lineRule="auto"/>
      </w:pPr>
      <w:r>
        <w:rPr>
          <w:rFonts w:ascii="DejaVu Serif" w:hAnsi="DejaVu Serif" w:eastAsia="Noto Serif CJK SC"/>
          <w:color w:val="000000"/>
          <w:sz w:val="22"/>
        </w:rPr>
        <w:t xml:space="preserve">To promote the construction of a community with a shared future for mankind and a community with a shared future for cosmic civilization, to achieve the highest personal goals of implementing a venture capital-style lifestyle of residence and establishing global private investment banks, private international benign asset management company legal entities, and private fundraising company legal entities, and on this basis, to continuously learn-reflect-act with a continuous altruistic mindset, and with the concept of a cosmic citizen, to continuously help promote the construction of an open, inclusive, mutual learning, mutual reference, joint consultation, joint construction, and shared benefits; universal security, common prosperity, and universal winning world-class and cosmicized new ecology as the highest programmatic ideal of life.</w:t>
      </w:r>
    </w:p>
    <w:tbl>
      <w:tblPr>
        <w:tblStyle w:val="Table"/>
        <w:tblW w:type="pct" w:w="5005"/>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7"/>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To promote the construction of a community with a shared future for mankind and a community with a shared future for cosmic civilization, to achieve the highest personal goals of implementing a venture capital-style lifestyle of residence and establishing global private investment banks, private international benign asset management company legal entities, and private fundraising company legal entities, and on this basis, to continuously learn-reflect-act with a continuous altruistic mindset, and with the concept of a cosmic citizen, to continuously help promote the construction of an open, inclusive, mutual learning, mutual reference, joint consultation, joint construction, and shared benefits; universal security, common prosperity, and universal winning world-class and cosmicized new ecology as the highest programmatic ideal of life.</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Sub-commentary: The preceding Article clarifies the reasons for constitutional enactment, while 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highest program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the Charter. The program has two aspects: first,</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personal goals</w:t>
            </w:r>
            <w:r>
              <w:rPr>
                <w:rFonts w:ascii="DejaVu Serif" w:hAnsi="DejaVu Serif" w:eastAsia="Noto Sans CJK SC"/>
                <w:color w:val="000000"/>
                <w:sz w:val="19"/>
              </w:rPr>
              <w:t xml:space="preserve">—a venture capital-style lifestyle of residence and the establishment of three types of legal entities (private investment banks, private international benign asset management companies, private fundraising companies); second,</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civilizational goals</w:t>
            </w:r>
            <w:r>
              <w:rPr>
                <w:rFonts w:ascii="DejaVu Serif" w:hAnsi="DejaVu Serif" w:eastAsia="Noto Sans CJK SC"/>
                <w:color w:val="000000"/>
                <w:sz w:val="19"/>
              </w:rPr>
              <w:t xml:space="preserve">—to help construct a universal winning ecosystem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community with a shared future for mankind</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community with a shared future for cosmic civilization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with the concept of a cosmic citizen. This Article elevates the individual’s life struggle to the height of civilizational concern, serving as the ultimate source of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altruism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基调 of this Charter.</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states: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Community with a Shared Future for Mankind</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Community with a Shared Future for Cosmic Civilization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are the core concepts of this life philosophy. The former extends to all humanity, while the latter expands to the cosmic realm, echoing Article 7’s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Cosmic Public Law</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Cosmic-Level Political Ecology.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Those who maintain a</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continuous altruistic mindset and continuous learning-thinking-action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establish the dynamic mechanism of this life: taking altruism as the core method 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learning-thinking-action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the cycle, renewing daily without cease. The sixteen-character phrase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openness, inclusivity, mutual learning, mutual appreciation, joint consultation, joint construction, and sharing,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along with</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universal security, common prosperity, and universal win-win,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constitute the civilizational vision to which this life aspires to contribute. Note that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Three Corporate Bodies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this Article have been adjusted in Article 8-4 and the First Amendment; for details, see the 【Legislative History】 of that Article.</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 【Charter Purpose】, Article 7 【Universal Cosmic Citizen Concept】, Article 10 【The Mission of Entrepreneurs, Businesspersons, Investors, and Private Fund Managers】, Article 21 【Ultimate Life Goals】, Second Amendment (Annex A.02.001).</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29"/>
    <w:bookmarkStart w:id="30" w:name="Xfe250c0f6a012fe32ee26c3e4f49d8789a1e0de"/>
    <w:p>
      <w:pPr>
        <w:pStyle w:val="Heading3"/>
        <w:spacing w:after="120" w:line="312" w:lineRule="auto"/>
        <w:jc w:val="left"/>
      </w:pPr>
      <w:r>
        <w:rPr>
          <w:rFonts w:ascii="DejaVu Serif" w:hAnsi="DejaVu Serif" w:eastAsia="Noto Serif CJK SC"/>
          <w:color w:val="000000"/>
          <w:sz w:val="26"/>
        </w:rPr>
        <w:t xml:space="preserve">Article 2 【Description of the Ideal Personality of the Charter’s Author】</w:t>
      </w:r>
    </w:p>
    <w:p>
      <w:pPr>
        <w:pStyle w:val="FirstParagraph"/>
        <w:spacing w:after="120" w:line="312" w:lineRule="auto"/>
      </w:pPr>
      <w:r>
        <w:rPr>
          <w:rFonts w:ascii="DejaVu Serif" w:hAnsi="DejaVu Serif" w:eastAsia="Noto Serif CJK SC"/>
          <w:color w:val="000000"/>
          <w:sz w:val="22"/>
        </w:rPr>
        <w:t xml:space="preserve">In the ideal personality of the Charter-Maker as described in the Charter, I aspire to become a person who simultaneously meets all of the following descriptions: (1) Possessing unconditional confidence that is unaffected by external material conditions or the evaluative words of any other person; (2) Not arrogant or conceited; (3) Pragmatic and fact-based; (4) Possessing strong internal drive; (5) Possessing strong strategic self-decision-making capability;</w:t>
      </w:r>
    </w:p>
    <w:p>
      <w:pPr>
        <w:pStyle w:val="BodyText"/>
        <w:spacing w:after="120" w:line="312" w:lineRule="auto"/>
      </w:pPr>
      <w:r>
        <w:rPr>
          <w:rFonts w:ascii="DejaVu Serif" w:hAnsi="DejaVu Serif" w:eastAsia="Noto Serif CJK SC"/>
          <w:color w:val="000000"/>
          <w:sz w:val="22"/>
        </w:rPr>
        <w:t xml:space="preserve">【First passed on 2022-8-13】</w:t>
      </w:r>
    </w:p>
    <w:p>
      <w:pPr>
        <w:numPr>
          <w:ilvl w:val="0"/>
          <w:numId w:val="1005"/>
        </w:numPr>
        <w:spacing w:after="120" w:line="312" w:lineRule="auto"/>
      </w:pPr>
      <w:r>
        <w:rPr>
          <w:rFonts w:ascii="DejaVu Serif" w:hAnsi="DejaVu Serif" w:eastAsia="Noto Serif CJK SC"/>
          <w:color w:val="000000"/>
          <w:sz w:val="22"/>
        </w:rPr>
        <w:t xml:space="preserve">Possessing firm individual (unique) principles; (7) Systematic in thinking, cognition, and behavior; (8) Upholding maximum feasible freedom of autonomy (right of self-determination); (9) Refusing to control or pursue team members for non-realistic possibilities of losing control or involvement in criminal acts, yet being able to provide timely (to varying degrees, up to severe) reminders when necessary, and conversely, implementing substantive strict control; (10) Viewing all persons as equal in personality while recognizing and respecting their differences; (11) In accordance with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Principle of Anti-illegality,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establishing the absolute bottom-line standard for one’s own and others’ behavior and thinking as acts that constitute crimes and are sentenced to seven years or more of fixed-term imprisonment (with lifelong deprivation of political rights) in violation of the Criminal Law and its judicial interpretations; (12) In accordance with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Principle of Anti-illegality,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establishing the relative bottom-line standard as guaranteeing, in principle, that oneself is not imprisoned and receives punishments of 30 years or more of fixed-term imprisonment or life imprisonment, in violation of the Criminal Law and relevant laws and regulations applicable at the time the act was committed; (13) In accordance with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Principle of Anti-illegality,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considering the mandatory provisions of the Public Security Administration Punishment Law, the Administrative Compulsion Law, and the Civil Compulsory Enforcement Law (Draft) as the third, fourth, and fifth tiers of relative bottom-line standards, respectively; (14) Detailed interpretation: In principle, on the premise of not violating the explicit provisions of the Criminal Law (and its judicial interpretations) and (other) laws in force at the time the act was committed, especially the mandatory legal provisions concerning the deprivation of human life and restrictions on personal freedom (in extreme circumstances, upon having fully or substantially achieved the established objectives, it is acceptable to be subject to a maximum of 7 years of restrictive imprisonment for a single non-legitimate act due to non-subjective intent; for multiple non-legitimate acts, a maximum of 20 years of restrictive imprisonment under the relevant legal provisions; through the method of paying the minimally feasible necessary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effort,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to engage in altruistic affairs for the benefit of like-minded individuals among all humanity who share common ideals, intending to achieve the personal life’s established, maximally intended to be achieved, non-illegitimate purposes, altruistic or mutually beneficial universal win-win aspirations or the corresponding state of achievement, and to persevere in achieving the state of one’s life ideals in the established macro-direction); (15) In accordance with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Principle of Anti-illegality and Charter Compliance,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when necessary, considering the mandatory provisions of explicit agreement clauses, industry mandatory regulations, minimally feasible action processes of standard operating procedures, specific requirements of clients (collective or individual), industry ethics (non-mandatory regulations of a moral nature), social morality, ideal academic state, absolute upper limit of personal ideal state, absolute upper limit of core team ideal state, and absolute upper limit of humanity’s ideal state as the sixth, seventh, eighth, ninth, tenth, eleventh, twelfth, thirteenth, and fourteenth, and fifteenth tiers of relative bottom-line standards, respectively; (16) Extremely peaceful in mind; (17) Able to communicate calmly, logically, and with almost all like-minded people and most well-intentioned unlike-minded relative people; (18) Capable of lifelong learning and continuous growth; (19) Able to continuously earn monetary income, earning at least 1 million yuan in non-labor income per month before the age of 35, and being able to earn a total of 1 to 1 billion yuan (or equivalent in commonly used foreign currency in one’s usual place of residence); (20) Committed to long-termism (maintaining regularity and systematicness in one’s business, investment, travel office and travel residence, translation, language learning and exchange, book writing, exercise, and waking and sleeping principles); (21) Principally honest, but exemptable under the explicitly stipulated circumstances in Articles 90 and 91 of this Charter; (22) Able to comprehensively and dialectically listen to information from external relative persons and verify its authenticity; (23) Able to continuously perceive the essence of all things and make continuous and effective decisions; (24) Capable of insight into human nature, skilled in resource integration, and adept at strategic planning and control; (25) Not unduly interfered with by any external person, matter, thing, resource, or one’s own greedy human nature beyond the minimally necessary; (26) Possessing identities such as a multilingual person, multilingual writer, or international resident; (27) Structurally establishing multiple corporate legal persons and enterprise organizations.</w:t>
      </w:r>
    </w:p>
    <w:p>
      <w:pPr>
        <w:numPr>
          <w:ilvl w:val="0"/>
          <w:numId w:val="1005"/>
        </w:numPr>
        <w:spacing w:after="120" w:line="312" w:lineRule="auto"/>
      </w:pPr>
      <w:r>
        <w:rPr>
          <w:rFonts w:ascii="DejaVu Serif" w:hAnsi="DejaVu Serif" w:eastAsia="Noto Serif CJK SC"/>
          <w:color w:val="000000"/>
          <w:sz w:val="22"/>
        </w:rPr>
        <w:t xml:space="preserve">Engaging in consulting, planning, organizing, agency, and intermediary activities in various possible transactional industries, as well as engaging in activities involving the leasing of specific subject matter; (29) Engaging in foreign-related activities (including but not limited to internationalized operations, investments, business, exchanges, linguistic communication, research and study, study abroad, exhibitions and conferences, cultural tourism, marriage, and media) on a cross-national, cross-regional, or global scale; (30) Having the status of a professional entrepreneur, investor (including natural person qualified investors, legal entity institutional investors, etc.), or private fund manager; (31) Engaging in private fund management, cross-national equity investment, or the operation of cross-national corporate legal entities; (32) A person who can ultimately organize a simplified, minimalist, globalized, transnational, and cross-cultural private transnational family office group legal entity **# This clause is amended in accordance with Article 2 of the First Amendment, replacing the original</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private investment bank group legal entity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with</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private transnational family office group legal entity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to adapt to the adjustment of life development direction from traditional financial institutions to the field of family wealth management, and to better align with the core goal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global asset allocation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p>
    <w:tbl>
      <w:tblPr>
        <w:tblStyle w:val="Table"/>
        <w:tblW w:type="pct" w:w="5004"/>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6"/>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the ideal personality of the Charter-Maker, I intend to become a person who simultaneously meets all of the following descriptions (there are more than thirty items, from</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possessing unconditional confidence unaffected by external material conditions or evaluative language from any other person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to</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 person who can ultimately organize a simplified, minimalist, globalized, transnational, and cross-cultural private transnational family office group legal entity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the full text shall be governed by the authentic text.)</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Sub-commentary: This article takes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ideal personality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its framework, enumerating all the qualities, abilities, identities, and aspirations that the Charter-Maker expects of himself (more than thirty-two items), forming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personnel spectrum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for the entire chapter. The legislative intent is to establish a personality coordinate for calibration, with the condition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simultaneously meeting all of the following descriptions,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so that all actions have a basis for reference.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Ten Evils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General Principles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chapter of the Tang Code with Sub-commentary establishes moral baselines; this article, in contrast, establishes a</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perfect ideal personality,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which constitutes the value summation of the Charter.</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These thirty-plus items can be broadly divided into four categories:</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Dispositional Category</w:t>
            </w:r>
            <w:r>
              <w:rPr>
                <w:rFonts w:ascii="DejaVu Serif" w:hAnsi="DejaVu Serif" w:eastAsia="Noto Sans CJK SC"/>
                <w:color w:val="000000"/>
                <w:sz w:val="19"/>
              </w:rPr>
              <w:t xml:space="preserve">—such as unconditional confidence, lack of arrogance and pride, seeking truth from facts, strong internal drive, extreme mental tranquility, lifelong learning, and long-termism;</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Baseline Category</w:t>
            </w:r>
            <w:r>
              <w:rPr>
                <w:rFonts w:ascii="DejaVu Serif" w:hAnsi="DejaVu Serif" w:eastAsia="Noto Sans CJK SC"/>
                <w:color w:val="000000"/>
                <w:sz w:val="19"/>
              </w:rPr>
              <w:t xml:space="preserve">—the various tiers of baseline standards for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anti-illegality principle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items (11) to (15);</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Ability and Identity Category</w:t>
            </w:r>
            <w:r>
              <w:rPr>
                <w:rFonts w:ascii="DejaVu Serif" w:hAnsi="DejaVu Serif" w:eastAsia="Noto Sans CJK SC"/>
                <w:color w:val="000000"/>
                <w:sz w:val="19"/>
              </w:rPr>
              <w:t xml:space="preserve">—such as multilingual individuals, multilingual writers, international sojourners, professional entrepreneurs, investors, and private fund managers;</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Ultimate Vision Category</w:t>
            </w:r>
            <w:r>
              <w:rPr>
                <w:rFonts w:ascii="DejaVu Serif" w:hAnsi="DejaVu Serif" w:eastAsia="Noto Sans CJK SC"/>
                <w:color w:val="000000"/>
                <w:sz w:val="19"/>
              </w:rPr>
              <w:t xml:space="preserve">—such as item (32)’s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organizing a private transnational family office group legal entity.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Item (32) was amended by the</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First Amendment</w:t>
            </w:r>
            <w:r>
              <w:rPr>
                <w:rFonts w:ascii="DejaVu Serif" w:hAnsi="DejaVu Serif" w:eastAsia="Noto Sans CJK SC"/>
                <w:color w:val="000000"/>
                <w:sz w:val="19"/>
              </w:rPr>
              <w:t xml:space="preserve">, changing the original</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private investment bank group legal entity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to</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private transnational family office group legal entity,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to adapt to the adjustment of life development direction from traditional financial institutions to the field of family wealth management. Item (19) sets a financial benchmark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earning at least 1 million yuan in non-labor income per month before age 35 and being able to earn a total of 1 to 10 billion yuan in currency,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which connects with the goals of Article 8 and Article 21.</w:t>
            </w:r>
          </w:p>
        </w:tc>
      </w:tr>
      <w:tr>
        <w:tc>
          <w:tcPr/>
          <w:p>
            <w:pPr>
              <w:pStyle w:val="Compact"/>
              <w:spacing w:after="40" w:line="288" w:lineRule="auto"/>
              <w:jc w:val="left"/>
            </w:pPr>
            <w:r>
              <w:rPr>
                <w:rFonts w:ascii="DejaVu Serif" w:hAnsi="DejaVu Serif" w:eastAsia="Noto Sans CJK SC"/>
                <w:b/>
                <w:bCs/>
                <w:color w:val="C00000"/>
                <w:sz w:val="19"/>
              </w:rPr>
              <w:t xml:space="preserve">【Question】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If I fail to meet all the items listed in this article, does it constitute a violation of the Charter?</w:t>
            </w:r>
          </w:p>
        </w:tc>
      </w:tr>
      <w:tr>
        <w:tc>
          <w:tcPr/>
          <w:p>
            <w:pPr>
              <w:pStyle w:val="Compact"/>
              <w:spacing w:after="40" w:line="288" w:lineRule="auto"/>
              <w:jc w:val="left"/>
            </w:pPr>
            <w:r>
              <w:rPr>
                <w:rFonts w:ascii="DejaVu Serif" w:hAnsi="DejaVu Serif" w:eastAsia="Noto Sans CJK SC"/>
                <w:b/>
                <w:bCs/>
                <w:color w:val="C00000"/>
                <w:sz w:val="19"/>
              </w:rPr>
              <w:t xml:space="preserve">【Answer】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This article is a</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description of the ideal personality,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belonging to a guiding and programmatic clause of value orientation, not an immediately performative obligatory clause. Its function is to indicate direction and calibrate actions; any of my actions that conform to the preceding items are in compliance with the Charter, and it is not necessary to use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simultaneously meeting all</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an immediate standard of performance; however, the Charter-Maker shall regard it as the lifelong goal to strive for.</w:t>
            </w:r>
          </w:p>
        </w:tc>
      </w:tr>
      <w:tr>
        <w:tc>
          <w:tcPr/>
          <w:p>
            <w:pPr>
              <w:pStyle w:val="Compact"/>
              <w:spacing w:after="40" w:line="288" w:lineRule="auto"/>
              <w:jc w:val="left"/>
            </w:pPr>
            <w:r>
              <w:rPr>
                <w:rFonts w:ascii="DejaVu Serif" w:hAnsi="DejaVu Serif" w:eastAsia="Noto Sans CJK SC"/>
                <w:b/>
                <w:bCs/>
                <w:color w:val="C00000"/>
                <w:sz w:val="19"/>
              </w:rPr>
              <w:t xml:space="preserve">【Legislative History】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Item (32) is amended in accordance with Article 2 of the First Amendment; this article does not contain any prohibitive content; all</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prohibitions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are in Articles 12 to 17.</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3 【Declarative Enumeration of Rights More Important Than Money】, Article 4 【Ordering of Values and Surrender Sequence of Natural Person Rights】, Article 8 【Description of Intended Work, Activities, Life States, and Methods】, Article 11 【Enumeration and Declaration of My Stronger Abilities】.</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30"/>
    <w:bookmarkStart w:id="31" w:name="Xbdcca51c9c91793fc70bf7de52d2123f36570e1"/>
    <w:p>
      <w:pPr>
        <w:pStyle w:val="Heading3"/>
        <w:spacing w:after="120" w:line="312" w:lineRule="auto"/>
        <w:jc w:val="left"/>
      </w:pPr>
      <w:r>
        <w:rPr>
          <w:rFonts w:ascii="DejaVu Serif" w:hAnsi="DejaVu Serif" w:eastAsia="Noto Serif CJK SC"/>
          <w:color w:val="000000"/>
          <w:sz w:val="26"/>
        </w:rPr>
        <w:t xml:space="preserve">Article 3 【Declarative Enumeration of Rights More Important Than Money】</w:t>
      </w:r>
    </w:p>
    <w:p>
      <w:pPr>
        <w:pStyle w:val="FirstParagraph"/>
        <w:spacing w:after="120" w:line="312" w:lineRule="auto"/>
      </w:pPr>
      <w:r>
        <w:rPr>
          <w:rFonts w:ascii="DejaVu Serif" w:hAnsi="DejaVu Serif" w:eastAsia="Noto Serif CJK SC"/>
          <w:color w:val="000000"/>
          <w:sz w:val="22"/>
        </w:rPr>
        <w:t xml:space="preserve">I hereby affirm that under any circumstances, the following rights are greater than money and assets: (1) Right to life; (2) Right to subsistence; (3) Right to basic health; (4) Right to rest; (5) Right to independent decision-making; (6) Right to freedom of action; (7) Right to learn and grow (right to development); (8) Right to independent thought; (9) Right to freedom of speech; (10) Right to publication; (11) Right to assembly; (12) Right to association; (13) Right to independent operation of a legal entity (including the right to independent decision-making in operations).</w:t>
      </w:r>
    </w:p>
    <w:p>
      <w:pPr>
        <w:pStyle w:val="BodyText"/>
        <w:spacing w:after="120" w:line="312" w:lineRule="auto"/>
      </w:pPr>
      <w:r>
        <w:rPr>
          <w:rFonts w:ascii="DejaVu Serif" w:hAnsi="DejaVu Serif" w:eastAsia="Noto Serif CJK SC"/>
          <w:color w:val="000000"/>
          <w:sz w:val="22"/>
        </w:rPr>
        <w:t xml:space="preserve">In any event, the right (1) to subsistence, (2) of life, (3) of basic health, (4) of rest, (5) of decision-making, (6) of freedom of action, (7) of learning and growth, (of developement) (8) of independent thinking, (9) of speech, (10) of publishing, (11) of assembly, (12) right of association, (13) business autonomy (including decision-making) is greater than money and assets.</w:t>
      </w:r>
    </w:p>
    <w:tbl>
      <w:tblPr>
        <w:tblStyle w:val="Table"/>
        <w:tblW w:type="pct" w:w="5006"/>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9"/>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 hereby affirm that under any circumstances, the following rights supersede money and assets: (1) the right to life; (2) the right to survival; (3) the right to basic health; (4) the right to rest; (5) the right to independent and autonomous decision-making; (6) the right to freedom of action; (7) the right to learn and grow (right to development); (8) the right to independent thought; (9) the right to freedom of speech; (10) the right to publication; (11) the right to assembly; (12) the right to association; (13) the right to independent management for legal persons (including the right to independent decision-making in operations). This Article is accompanied by an English version.</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Sub-commentary: This Article constitutes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General Principles on the Hierarchy of Rights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the Charter, explicitly establishing that the thirteen rights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under any circumstances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supersede money and assets. The legislative intent is to establish an unshakeable order for the value trade-offs in life: wealth may be lost, but rights must not be stripped; possessions may be abandoned, but the self and freedom must not be compromised. Together with the subsequent</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Value Ordering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Articles, this forms the value framework of the Charter.</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Among the thirteen rights, the first three (right to life, right to survival, right to basic health) are rights of the body, which are absolutely inalienable; the middle section (rest, independent decision-making, freedom of action, learning and growth, independent thought) pertains to the freedoms of mind and action; the latter section (speech, publication, assembly, association) pertains to the freedoms of expression and association; (13) the right to independent management for legal entities serves as the institutional guarantee for my personal</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venture capital</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endeavors. The phrase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supersede money and assets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does not negate the value of money, but rather establishes a hierarchy—in any conflict between the two, rights shall be prioritized over material wealth.</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4 【Value Ordering】, Articles 12 to 17 【Life Bottom Line】, Article 57 【Sources of Cash Flow such as Employment and Entrepreneurship】, Article 98 【Absolute Ultimate Bottom Line of Human Life Activities】.</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31"/>
    <w:bookmarkStart w:id="32" w:name="X3eff5b0c21297243eee81147ebd9dac19642b82"/>
    <w:p>
      <w:pPr>
        <w:pStyle w:val="Heading3"/>
        <w:spacing w:after="120" w:line="312" w:lineRule="auto"/>
        <w:jc w:val="left"/>
      </w:pPr>
      <w:r>
        <w:rPr>
          <w:rFonts w:ascii="DejaVu Serif" w:hAnsi="DejaVu Serif" w:eastAsia="Noto Serif CJK SC"/>
          <w:color w:val="000000"/>
          <w:sz w:val="26"/>
        </w:rPr>
        <w:t xml:space="preserve">Article 4 【Ranking of Values and the Order of a Natural Person’s Transfer of Rights】</w:t>
      </w:r>
    </w:p>
    <w:p>
      <w:pPr>
        <w:pStyle w:val="FirstParagraph"/>
        <w:spacing w:after="120" w:line="312" w:lineRule="auto"/>
      </w:pPr>
      <w:r>
        <w:rPr>
          <w:rFonts w:ascii="DejaVu Serif" w:hAnsi="DejaVu Serif" w:eastAsia="Noto Serif CJK SC"/>
          <w:color w:val="000000"/>
          <w:sz w:val="22"/>
        </w:rPr>
        <w:t xml:space="preserve">My ideal life values, in general principle, follow the ordering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Truth/Laws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greater than or equal to</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Human Wishes/Interests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greater than emotions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Truth/Laws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Human Wishes/Interests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&gt; Emotions). The specific item ordering is as follows, and its order is原则上 unchangeable for life, and when exchanging with others, follows the principle of transferring from the last item to the first item. Items 1-10 may never be alienated, and their order may not be altered: (1) Personal right to life (the right and characteristic of personal life’s origin and beginning of existence); (2) Personal right to survival (the temporal continuity of personal life’s existence); (3) Personal right to bodily integrity (the right to maintain the integrity of one’s physical body); (4) Personal right to maintain physical, mental, and cognitive health in perceiving the world (right to normal functioning of faculties/right to freedom from physical and mental illness); (5) Personal right to freedom (independent and autonomous strategic decision-making right, autonomous thought and selection right, and right to automatically operational asset creation); (6) Personal sense of belief | self-confidence (most core social resource); (7) External sense of trust (trust in others)【relative consistency between one’s system of thought and consciousness and one’s own actions (generally consistent)】; (8) Personal right to explore and clarify the essential truth of the whole picture; (9) Personal right to learn, grow, and change (developmental); (10) Personal - team life ideals | dreams | visions【List】(motivational); (11) Personal broad social credit【the validity of a personal promise to persons other than oneself】 based on my personal explicit promise, adhering to prudent commitment and utmost good faith: 1) Item 1. Personal operational social credit (so-called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commercial credit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2) Item 2. Personal capital, financial (realm) credit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financial, capital market credit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(12) Asset-based intangible resources (sustenance of material foundation income): Item 1. High-quality attention Item 2. High-quality energy Item 3. High-quality time Item 4. High-quality cognition Item 5. Quality information Item 6. Effective systematic rules (13) Personal influence (14) Personal leadership (15) Personal decision-making ability (16) Personal thinking ability (17) Personal communication ability (18) Personal altruism | expression of gratitude ¹; (Note: ¹ May be expressed through non-substantial means such as oral statements or substantial means such as money and materials, and consideration should be given to situations where it might be maliciously used by others.) (19) Personal reputation (relatively core social reputation): Item 1. Personal character Item 2. Personal talent</w:t>
      </w:r>
    </w:p>
    <w:p>
      <w:pPr>
        <w:pStyle w:val="Compact"/>
        <w:numPr>
          <w:ilvl w:val="0"/>
          <w:numId w:val="1006"/>
        </w:numPr>
        <w:spacing w:after="120" w:line="312" w:lineRule="auto"/>
      </w:pPr>
      <w:r>
        <w:rPr>
          <w:rFonts w:ascii="DejaVu Serif" w:hAnsi="DejaVu Serif" w:eastAsia="Noto Serif CJK SC"/>
          <w:color w:val="000000"/>
          <w:sz w:val="22"/>
        </w:rPr>
        <w:t xml:space="preserve">High-quality network of contacts (21) Other intangible assets (22) Long-term asset target system: Paragraph 1. Core persons in my partnership 【natural persons in my own camp】: Item 1 Core partners Item 2 Core shareholders Item 3 Core executives Paragraph 2. Equity Paragraph 3. Shares Paragraph 4. IPR assets (Intellectual Property Assets): Item 1 Copyright income: ①. Book copyright income ②. Audio/Music copyright income ③. Video/Film copyright income ④. Software copyright income ⑤. Other copyright income Item 2 Trademark income: ①. Trademark licensing fee income ②. Legal transfer income from trademarks ③. Other trademark income Item 3 Patent income: ①. Design patent income ②. Utility model patent income ③. Invention patent income ④. Other patent income Paragraph 5. Asset rights and interests – Passive income: Item 1 Usufructuary rights: ①. Cash flow assets from companies established ②. Dividends from equity/shares invested in other corporate entities ③. Rental assets from real estate re-leasing ④. Fund investment: Private fund establishment and investment – Primary market; or Mutual fund investment – Secondary market (Primary and secondary markets) Item 2 Profits from antique and art rentals Item 3 Profits from precious metal investment targets: ①. Gold ②. Silver ③. Platinum ④. Nickel ⑤. Palladium ⑥. Other legally tradable precious metal targets not listed above Item 4 Insurance Item 5 Trust Item 6 Bank structured deposits</w:t>
      </w:r>
    </w:p>
    <w:p>
      <w:pPr>
        <w:pStyle w:val="FirstParagraph"/>
        <w:spacing w:after="120" w:line="312" w:lineRule="auto"/>
      </w:pPr>
      <w:r>
        <w:rPr>
          <w:rFonts w:ascii="DejaVu Serif" w:hAnsi="DejaVu Serif" w:eastAsia="Noto Serif CJK SC"/>
          <w:color w:val="000000"/>
          <w:sz w:val="22"/>
        </w:rPr>
        <w:t xml:space="preserve">Paragraph 6. Right to dividends 【Source as follows】: Item 1 Equity in corporate entities not operated by myself Item 2 Shares held in other companies Paragraph 7. Shares of other high-performance companies Paragraph 8. Right to dividends from mutual fund shares (23) Core political rights: Paragraph 1. Freedom of speech Paragraph 2. Freedom of the press Paragraph 3. Freedom of assembly Paragraph 4. Freedom of association (24) Social responsibility: Paragraph 1. Responsibility for one’s own operations and future life, growth, and development; Paragraph 2. Responsibility to paying clients; (25) Responsibility to core team members of the corporate entity; (26) Responsibility to the entire corporate entity team; (27) Currency (money); (28) Narrow family responsibility: Paragraph 1. Before marriage, primarily to parents; Paragraph 2. Upon marriage, shifts primarily to wife and children, etc. Paragraph 3. Responsibility to other entities: Item 1 Responsibility to the future of humanity; Item 2 Responsibility to the future of people on the continent; Item 3 Responsibility to the future of people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Item 4 Responsibility to the future of people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region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①. Responsibility to the future of people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province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②. Responsibility to the future of people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municipal level</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③. Responsibility to the future of people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district level</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Item 5 Responsibility to the future of people of the same circle and with similar development aspirations; (29) My right to have descendants (30) Maintenance of personal prestige (31) Sense of authority (intangible hierarchical sense) (32) Position (steadfast)ness (33) Sense of mystery (34) Sense of loss (35) Scarcity/Limitation/Sense of scarcity (36) Need for feedback requiring only internal motivation (intrinsic drive): Item 1 Personal internal happiness reward – Altruism Item 2 Internal sense of mission Item 3 Internal sense of love Item 4 Internal sense of achievement Item 5 Internal sense of responsibility Item 6 Internal sense of pride Item 7 Internal sense of honor Item 8 Desire and curiosity to explore and restore the complete truth of the essence of events</w:t>
      </w:r>
    </w:p>
    <w:p>
      <w:pPr>
        <w:pStyle w:val="BodyText"/>
        <w:spacing w:after="120" w:line="312" w:lineRule="auto"/>
      </w:pPr>
      <w:r>
        <w:rPr>
          <w:rFonts w:ascii="DejaVu Serif" w:hAnsi="DejaVu Serif" w:eastAsia="Noto Serif CJK SC"/>
          <w:color w:val="000000"/>
          <w:sz w:val="22"/>
        </w:rPr>
        <w:t xml:space="preserve">Item 9. Sense of moral superiority Item 10. Inner sense of honor (self-motivation and self-identity) Item 11. Inner sense of crisis (negative returns) (37) Paragraph 2. Still requires external feedback (extrinsic motivation) returns: Item 1. Need for social acclaim (from other natural persons, legal entities): ①. Need for social certificate of recognition (endorsement); ②. Need for social medal of recognition; ③. Need for social title of recognition Item 2. Need for positive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labels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from others (e.g., generosity) Item 3. Need for the sense of power, control, leadership, and pride from holding official positions Item 4. Personal sense of mystery toward the public Item 5. Need for sense of presence, ritual, grandeur, and excitement from participating in ceremonies Item 6. Sense of game, participation, and interaction from progressively enhanced mutual feedback Item 7. Sense of novelty and curiosity from engaging in an external event for the first time or obtaining certain new experiences Item 8. Sense of acquisition from obtaining something that has never been obtained before Item 9. Need for encouragement from other subjects (natural persons, legal entities) Item 10. Sense of uniqueness and honor from membership-like status Item 11. Other positive return objects and their corresponding mechanisms not listed above, non-monetary(38) Non-core social reputation: Paragraph 1. Personal prestige Paragraph 2. Other social reputation evaluations(39) Social morality: Paragraph 1. Institutional supremacy Paragraph 2. Fairness(40) Other substantial 【social】 rights(41) Additional rights / interests of other substantial 【social】 rights(42) Inherent psychological tendency toward strength in personal existence(43) Inherent psychological tendency toward conformity in personal existence(44) Mass public evaluation (public opinion) (45) Personal sentimentalism(46) Personal face (sense of vanity, virtual honor) (47) Other externally attached objects: Paragraph 1. Other temporary external rights Paragraph 2. External, social labels obtained by the person affecting all Paragraph 3. Other intangible externally attached objects</w:t>
      </w:r>
    </w:p>
    <w:tbl>
      <w:tblPr>
        <w:tblStyle w:val="Table"/>
        <w:tblW w:type="pct" w:w="5004"/>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6"/>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My ideal life values, in principle overall, follow the ordering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Truth/Laws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Human Wishes/Interests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&gt; Emotions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Truth/Laws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Human Wishes/Interests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&gt; Emotions). The specific item ordering is as follows, and its order is in principle unchangeable for life, and when exchanging with others, follows the principle of transferring from the end to the beginning, with Items 1-10 never to be transferred at any time, and their order also not to be altered: (In total forty-seven items, from personal right to life to other intangible externally attached objects, the full text shall be taken as the authentic text.)</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【Commentary】 states: This Article is the most detailed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Value and Object Ranking Table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the Charter, and also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Principle of Transfer.</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Its meaning has three aspects: First is the</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General Order</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r>
              <w:rPr>
                <w:rFonts w:ascii="DejaVu Serif" w:hAnsi="DejaVu Serif" w:eastAsia="Noto Sans CJK SC"/>
                <w:color w:val="000000"/>
                <w:sz w:val="19"/>
              </w:rPr>
              <w:t xml:space="preserve">Truth/Laws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Human Wishes/Interests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&gt; Emotions; Second is the</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Detailed Items</w:t>
            </w:r>
            <w:r>
              <w:rPr>
                <w:rFonts w:ascii="DejaVu Serif" w:hAnsi="DejaVu Serif" w:eastAsia="Noto Sans CJK SC"/>
                <w:color w:val="000000"/>
                <w:sz w:val="19"/>
              </w:rPr>
              <w:t xml:space="preserve">—forty-seven objects arranged in order of importance from first to last; Third is the</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Method of Transfer</w:t>
            </w:r>
            <w:r>
              <w:rPr>
                <w:rFonts w:ascii="DejaVu Serif" w:hAnsi="DejaVu Serif" w:eastAsia="Noto Sans CJK SC"/>
                <w:color w:val="000000"/>
                <w:sz w:val="19"/>
              </w:rPr>
              <w:t xml:space="preserve">—when transferring through exchange, transfer from the end to the beginning, and Items 1 to 10</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shall not be transferred at any time.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states: The General Order reveals the rational foundation of this life—objective truth and laws are superior to subjective wishes and interests, and even more so to transient emotions. The Method of Transfer is the operational rule for a</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transactional</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view of life: what can be transferred begins from the end, and what cannot be transferred (the first 10 items) is protected with one’s being. The aforementioned items can be categorized into three layers:</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Bottom Layer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(Items 1-10: life, survival, bodily integrity, health, freedom, beliefs, trust, truth-seeking, learning and growth, life ideals);</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Resource Layer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(Items 11-21: credit, intangible resources, influence, leadership, decision-making power, reputation, networks, etc.);</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Asset Layer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(Item 22</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Long-term Asset Object System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 political rights, sense of social responsibility, currency, family responsibilities, etc., from Item 23 onwards). Under Item 22 are further listed equity shares, stock shares, IPR assets (copyright, trademark rights, patent rights), passive income (usufructuary rights, funds, precious metals, insurance, trusts, etc.), dividend rights, etc., which in reality constitutes an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asset constitution.</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【Question】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If two non-transferable items conflict (e.g., right to life and right to freedom), how should it be handled?</w:t>
            </w:r>
          </w:p>
        </w:tc>
      </w:tr>
      <w:tr>
        <w:tc>
          <w:tcPr/>
          <w:p>
            <w:pPr>
              <w:pStyle w:val="Compact"/>
              <w:spacing w:after="40" w:line="288" w:lineRule="auto"/>
              <w:jc w:val="left"/>
            </w:pPr>
            <w:r>
              <w:rPr>
                <w:rFonts w:ascii="DejaVu Serif" w:hAnsi="DejaVu Serif" w:eastAsia="Noto Sans CJK SC"/>
                <w:b/>
                <w:bCs/>
                <w:color w:val="C00000"/>
                <w:sz w:val="19"/>
              </w:rPr>
              <w:t xml:space="preserve">【Answer】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accordance with the order of this Article, precedence is given to what comes first. The right to life (Item 1) holds supreme status; in any conflict between the right to life and other items, the right to life shall prevail; however, in accordance with Articles 12 and 13, the absolute bottom line for the Charter-Maker is also</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not personally violating a sentence of imprisonment for more than seven years,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 these two shall be considered together.</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3 【Declarative Enumeration of Rights More Important Than Money】, Article 5 【The Nature of Sources of Fear】, Articles 12 to 17 【Life Bottom Lines】, Article 21 【Ultimate Life Goals】, Article 83 【Systematic Summary of Primary Essential Objects】.</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32"/>
    <w:bookmarkStart w:id="33" w:name="X65574b0375e93cba8388df8645400f37eb949a9"/>
    <w:p>
      <w:pPr>
        <w:pStyle w:val="Heading3"/>
        <w:spacing w:after="120" w:line="312" w:lineRule="auto"/>
        <w:jc w:val="left"/>
      </w:pPr>
      <w:r>
        <w:rPr>
          <w:rFonts w:ascii="DejaVu Serif" w:hAnsi="DejaVu Serif" w:eastAsia="Noto Serif CJK SC"/>
          <w:color w:val="000000"/>
          <w:sz w:val="26"/>
        </w:rPr>
        <w:t xml:space="preserve">Article 5 【The Essence of the Sources of Fear】</w:t>
      </w:r>
    </w:p>
    <w:p>
      <w:pPr>
        <w:pStyle w:val="FirstParagraph"/>
        <w:spacing w:after="120" w:line="312" w:lineRule="auto"/>
      </w:pPr>
      <w:r>
        <w:rPr>
          <w:rFonts w:ascii="DejaVu Serif" w:hAnsi="DejaVu Serif" w:eastAsia="Noto Serif CJK SC"/>
          <w:color w:val="000000"/>
          <w:sz w:val="22"/>
        </w:rPr>
        <w:t xml:space="preserve">The essential summary of universal sources of fear for human beings is as follows: (1) Loss of one’s own life (deprivation of the right to survival), (2) Deprivation of personal, thought, and choice freedoms: 1) Paragraph 1. Permanent deprivation of personal freedom, 2) Paragraph 2. Limited-term deprivation of personal freedom (more than 7 years), 3) Paragraph 3. Limited-term deprivation of personal freedom (7 years and below).</w:t>
      </w:r>
    </w:p>
    <w:p>
      <w:pPr>
        <w:pStyle w:val="Compact"/>
        <w:numPr>
          <w:ilvl w:val="0"/>
          <w:numId w:val="1007"/>
        </w:numPr>
        <w:spacing w:after="120" w:line="312" w:lineRule="auto"/>
      </w:pPr>
      <w:r>
        <w:rPr>
          <w:rFonts w:ascii="DejaVu Serif" w:hAnsi="DejaVu Serif" w:eastAsia="Noto Serif CJK SC"/>
          <w:color w:val="000000"/>
          <w:sz w:val="22"/>
        </w:rPr>
        <w:t xml:space="preserve">Harm to the Charter-Maker’s personal (physical) integrity and right to health, (4) Damage to and eventual loss of commercial reputation and financial credibility, (5) Deprivation of political rights: 1) Paragraph 1. Permanent deprivation of political rights, 2) Paragraph 2. Limited-term deprivation of political rights. (6) Deprivation of passively income-generating assets, (7) Deprivation of the Charter-Maker’s right to autonomously allocate personal time, energy, and attention, (8) Failure to obtain the expected value after the Charter-Maker’s currency is deprived: 1) The Charter-Maker is deceived, 2) There is a material misunderstanding among the parties, 3) The Charter-Maker or parties anticipate the need for control. (9) Damage to the Charter-Maker’s reputation, honor, and social standing, (10) Permanent deprivation of the Charter-Maker’s identity and professional qualifications (livelihood), (11) Limited-term deprivation of the Charter-Maker’s identity and professional qualifications (livelihood), (12) Deprivation of a person’s deserved life development possibilities or opportunities, (13) The Charter-Maker is socially abandoned (loss of social recognition from close relations within the same circle), (14) Deprivation of other objects, opportunities, rights and interests, and the right to continued existence of an ideal life state as formed, not listed above.</w:t>
      </w:r>
    </w:p>
    <w:tbl>
      <w:tblPr>
        <w:tblStyle w:val="Table"/>
        <w:tblW w:type="pct" w:w="5004"/>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6"/>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essential summary of universal sources of fear for human beings is as follows: (1) Loss of one’s own life; (2) Deprivation of personal, thought, and choice freedoms (including three paragraphs: permanent, more than 7 years, and 7 years and below); (3) Harm to personal (physical) integrity and the right to health; (4) Damage to and eventual loss of commercial reputation and financial credibility; (5) Deprivation of political rights; (6) Deprivation of passively income-generating assets; (7) Deprivation of the right to autonomously allocate personal time, energy, and attention; (8) Failure to obtain the expected value after currency is deprived (deception, material misunderstanding, anticipated control); (9) Damage to reputation, honor, and social standing; (10) Permanent deprivation of identity and professional qualifications (livelihood); (11) Limited-term deprivation of professional qualifications (livelihood); (12) Deprivation of life development possibilities or opportunities; (13) Social abandonment; (14) Deprivation of other objects, opportunities, rights and interests, and the right to continued existence of an ideal life state.</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【Commentary】 states: This Article dissects the nature of fear, which is in fact the inverse projection of the value ordering in the preceding Article—whatever is feared is what is cherished. By understanding the sources of fear, one knows the targets of prevention. The purpose of legislation is to transform the vague concept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fear</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into identifiable objects, enabling the Charter-Maker to rationally manage emotions and act with specific targets.</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states: The sources of fear largely correspond to the value list in the preceding Article, but further reveal their psychological mechanisms—fear arises from the anticipation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loss.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Accordingly, the Charter-Maker’s risk management is guided by the principle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not losing what is cherished</w:t>
            </w:r>
            <w:r>
              <w:rPr>
                <w:rFonts w:ascii="DejaVu Serif" w:hAnsi="DejaVu Serif" w:eastAsia="Noto Sans CJK SC"/>
                <w:color w:val="000000"/>
                <w:sz w:val="19"/>
              </w:rPr>
              <w:t xml:space="preserve">”</w:t>
            </w:r>
            <w:r>
              <w:rPr>
                <w:rFonts w:ascii="DejaVu Serif" w:hAnsi="DejaVu Serif" w:eastAsia="Noto Sans CJK SC"/>
                <w:color w:val="000000"/>
                <w:sz w:val="19"/>
              </w:rPr>
              <w:t xml:space="preserve">: using insurance, trusts, and identity configurations to protect assets (Item 6), using multilingual and cross-cultural abilities to protect development opportunities (Item 12), using prudent commitments and utmost good faith to protect credit (Item 4), and using few but deep relationships to protect social recognition (Item 13). This Article is connected to the subsequent credit and security provisions in the various Annexes.</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3 【Declarative Enumeration of Rights More Important Than Money】, Article 4 【Value Ordering】, Article 83 【Systematic Summary of Primary Essential Objects】, Annex A.05.001 【Implementation Rules for Anti-Extremism, Credit Evaluation, and Individual Belief Support】.</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33"/>
    <w:bookmarkStart w:id="34" w:name="Xef3d8c9a0d5058ea3f5d19cc797af2a27b63064"/>
    <w:p>
      <w:pPr>
        <w:pStyle w:val="Heading3"/>
        <w:spacing w:after="120" w:line="312" w:lineRule="auto"/>
        <w:jc w:val="left"/>
      </w:pPr>
      <w:r>
        <w:rPr>
          <w:rFonts w:ascii="DejaVu Serif" w:hAnsi="DejaVu Serif" w:eastAsia="Noto Serif CJK SC"/>
          <w:color w:val="000000"/>
          <w:sz w:val="26"/>
        </w:rPr>
        <w:t xml:space="preserve">Article 6 【On</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Faithfulness</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and</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Change</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in the Author’s Conduct】</w:t>
      </w:r>
    </w:p>
    <w:p>
      <w:pPr>
        <w:pStyle w:val="FirstParagraph"/>
        <w:spacing w:after="120" w:line="312" w:lineRule="auto"/>
      </w:pPr>
      <w:r>
        <w:rPr>
          <w:rFonts w:ascii="DejaVu Serif" w:hAnsi="DejaVu Serif" w:eastAsia="Noto Serif CJK SC"/>
          <w:color w:val="000000"/>
          <w:sz w:val="22"/>
        </w:rPr>
        <w:t xml:space="preserve">Make prudent commitments with utmost good faith; dare to correct and abandon face; practice long-termism to move steadily and go far.</w:t>
      </w:r>
    </w:p>
    <w:tbl>
      <w:tblPr>
        <w:tblStyle w:val="Table"/>
        <w:tblW w:type="pct" w:w="5006"/>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9"/>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Make prudent commitments with utmost good faith; dare to correct and abandon face; practice long-termism to move steadily and go far.</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【Commentary】 states: This Article establishes the general principles of the Charter-Maker’s conduct in sixteen characters, concise yet rich in meaning, serving as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code of conduct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for the entire text. The first eight characters address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trust</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way of dealing with others; the middle eight characters address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change</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way of dealing with oneself; the last eight characters address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constancy</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way of dealing with time. The three complement each other, forming the complete posture of the Charter-Maker in navigating the world.</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states: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Prudent commitment, utmost good faith</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means exercising utmost caution before making a commitment and holding it with the weight of a thousand pieces of gold after it is made, to be cross-referenced with Article 90 on the principle of good faith and Article 91 on the exemption mechanism.</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Dare to correct, abandon face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the psychological prerequisite for this life’s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self-iteration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108, Article 109)—the courage to admit defeat surpasses the skill of covering up mistakes.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Long-termism, steady progress for long-distance journeys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the ultimate source of Article 70’s long-termism thinking.</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Trust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change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may seem contradictory but are in fact complementary: trust in others should not be lightly altered, but one’s own mistakes must be courageously corrected.</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90 【Principle of Good Faith】, Article 91 【Exemption from the Principle of Good Faith】, Article 70 【Long-termism Mindset】, Article 108 【Bug Discovery and Iteration】, Article 109 【Growth-oriented Mindset】.</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34"/>
    <w:bookmarkStart w:id="35" w:name="X553cca2c3b39919016d6510a86b9f3114bbff42"/>
    <w:p>
      <w:pPr>
        <w:pStyle w:val="Heading3"/>
        <w:spacing w:after="120" w:line="312" w:lineRule="auto"/>
        <w:jc w:val="left"/>
      </w:pPr>
      <w:r>
        <w:rPr>
          <w:rFonts w:ascii="DejaVu Serif" w:hAnsi="DejaVu Serif" w:eastAsia="Noto Serif CJK SC"/>
          <w:color w:val="000000"/>
          <w:sz w:val="26"/>
        </w:rPr>
        <w:t xml:space="preserve">Article 7 【The Ideal of the Universal Cosmic Citizen】</w:t>
      </w:r>
    </w:p>
    <w:p>
      <w:pPr>
        <w:pStyle w:val="FirstParagraph"/>
        <w:spacing w:after="120" w:line="312" w:lineRule="auto"/>
      </w:pPr>
      <w:r>
        <w:rPr>
          <w:rFonts w:ascii="DejaVu Serif" w:hAnsi="DejaVu Serif" w:eastAsia="Noto Serif CJK SC"/>
          <w:color w:val="000000"/>
          <w:sz w:val="22"/>
        </w:rPr>
        <w:t xml:space="preserve">The concept of Universal Cosmic Citizenship is an ideological belief. The mind of a Universal Cosmic Citizen is not constrained by the concepts of existing nations, political parties, or political doctrines. It holds that one may travel to any place in the world or even throughout the entire universe without restrictions. Any act that does not violate mandatory legal provisions may be undertaken under specific conditions. It advocates for the establishment of 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Cosmic Public Law</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Cosmic-level Political Ecology,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seeks to achieve a state of existence characterized by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Universal Mutual Benefit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Universal Sovereignty.</w:t>
      </w:r>
      <w:r>
        <w:rPr>
          <w:rFonts w:ascii="DejaVu Serif" w:hAnsi="DejaVu Serif" w:eastAsia="Noto Serif CJK SC"/>
          <w:color w:val="000000"/>
          <w:sz w:val="22"/>
        </w:rPr>
        <w:t xml:space="preserve">”</w:t>
      </w:r>
    </w:p>
    <w:tbl>
      <w:tblPr>
        <w:tblStyle w:val="Table"/>
        <w:tblW w:type="pct" w:w="5006"/>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9"/>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concept of Universal Cosmic Citizenship is an ideological belief. The mind of a Universal Cosmic Citizen is not constrained by the concepts of existing nations, political parties, or political doctrines. It holds that one may travel to any place in the world or even throughout the entire universe without restriction. Any act that does not violate mandatory legal provisions may be undertaken under specific conditions. It advocates for the establishment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Cosmic Public Law</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 a</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Cosmic-Level Political Ecology,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seeking a state of being characterized by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Universal Mutual Benefit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Universal Sovereignty.</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Sub-commentary: This Article is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Declaration of Identity and Belief</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the Charter, establishing the fundamental position of the Charter-Maker to regard themselves as a</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Universal Cosmic Citizen.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Its essential principles are three: first,</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freedom from national and ethnic constraints</w:t>
            </w:r>
            <w:r>
              <w:rPr>
                <w:rFonts w:ascii="DejaVu Serif" w:hAnsi="DejaVu Serif" w:eastAsia="Noto Sans CJK SC"/>
                <w:color w:val="000000"/>
                <w:sz w:val="19"/>
              </w:rPr>
              <w:t xml:space="preserve">—unbound by the conceptual fetters of any existing nation, political party, or political doctrine; second,</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universal mobility</w:t>
            </w:r>
            <w:r>
              <w:rPr>
                <w:rFonts w:ascii="DejaVu Serif" w:hAnsi="DejaVu Serif" w:eastAsia="Noto Sans CJK SC"/>
                <w:color w:val="000000"/>
                <w:sz w:val="19"/>
              </w:rPr>
              <w:t xml:space="preserve">—the ability to travel to any location on Earth or throughout the cosmos; and third,</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action in accordance with the law</w:t>
            </w:r>
            <w:r>
              <w:rPr>
                <w:rFonts w:ascii="DejaVu Serif" w:hAnsi="DejaVu Serif" w:eastAsia="Noto Sans CJK SC"/>
                <w:color w:val="000000"/>
                <w:sz w:val="19"/>
              </w:rPr>
              <w:t xml:space="preserve">—any act that does not violate mandatory legal provisions may be undertaken under specific conditions. This is the intellectual source for Articles 94 to 99, including</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Political Neutrality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Non-Participation in War.</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【Discussion】It is stated: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Cosmic Citizen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not a legal status but a conceptual identity—a self-identification and worldview that transcends national borders. This Article constitutes the formal declaration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Cosmism,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forming an unbroken lineage with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Cosmist path</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Article 1 and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Community with a Shared Future for Cosmic Civilization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Article 1-2. Terms such as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Cosmic Public Law,</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Cosmic-level Political Ecology,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Sovereign of All Under Heaven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signify the ultimate framework aspired to by the Charter-Maker. However, it must be noted that this Article establishes the boundary for action as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not violating mandatory provisions of the law,</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jointly upholding the legal baseline with Article 98 【Absolute Ultimate Baseline of Life Action】 and Article 125 【Response to the Revision of Laws and Regulations】.</w:t>
            </w:r>
          </w:p>
        </w:tc>
      </w:tr>
      <w:tr>
        <w:tc>
          <w:tcPr/>
          <w:p>
            <w:pPr>
              <w:pStyle w:val="Compact"/>
              <w:spacing w:after="40" w:line="288" w:lineRule="auto"/>
              <w:jc w:val="left"/>
            </w:pPr>
            <w:r>
              <w:rPr>
                <w:rFonts w:ascii="DejaVu Serif" w:hAnsi="DejaVu Serif" w:eastAsia="Noto Sans CJK SC"/>
                <w:b/>
                <w:bCs/>
                <w:color w:val="C00000"/>
                <w:sz w:val="19"/>
              </w:rPr>
              <w:t xml:space="preserve">【Question】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a citizen of the cosmos, is one not subject to the laws of any single nation?</w:t>
            </w:r>
          </w:p>
        </w:tc>
      </w:tr>
      <w:tr>
        <w:tc>
          <w:tcPr/>
          <w:p>
            <w:pPr>
              <w:pStyle w:val="Compact"/>
              <w:spacing w:after="40" w:line="288" w:lineRule="auto"/>
              <w:jc w:val="left"/>
            </w:pPr>
            <w:r>
              <w:rPr>
                <w:rFonts w:ascii="DejaVu Serif" w:hAnsi="DejaVu Serif" w:eastAsia="Noto Sans CJK SC"/>
                <w:b/>
                <w:bCs/>
                <w:color w:val="C00000"/>
                <w:sz w:val="19"/>
              </w:rPr>
              <w:t xml:space="preserve">【Answer】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No. A Cosmic Citizen is a matter of transcendent concept, not a legal exemption. All who are within a country or region are subject to its currently effective laws; Article 144 of the Charter explicitly stipulates that where there is an irreconcilable conflict between the Charter and the mandatory provisions of local laws and regulations, the Charter’s articles shall be amended in accordance with the law before implementation. Therefore,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Cosmic Perspective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Legal Baseline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this Article are not in contradiction.</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 【Charter Purpose】, Article 1-2 【Highest Programmatic Ideals】, Article 93 【The Meaning of Patriotism and Its Exemptions】, Articles 94 to 99, Article 125 【Response to the Revision of Laws and Regulations】.</w:t>
            </w:r>
          </w:p>
        </w:tc>
      </w:tr>
    </w:tbl>
    <w:bookmarkEnd w:id="35"/>
    <w:bookmarkStart w:id="44" w:name="volume-ii-chapter-on-the-ideal-life"/>
    <w:p>
      <w:pPr>
        <w:pStyle w:val="Heading2"/>
        <w:spacing w:after="160" w:line="312" w:lineRule="auto"/>
        <w:jc w:val="left"/>
      </w:pPr>
      <w:r>
        <w:rPr>
          <w:rFonts w:ascii="DejaVu Serif" w:hAnsi="DejaVu Serif" w:eastAsia="Noto Serif CJK SC"/>
          <w:color w:val="000000"/>
          <w:sz w:val="30"/>
        </w:rPr>
        <w:t xml:space="preserve">Volume II Chapter on the Ideal Life</w:t>
      </w:r>
    </w:p>
    <w:p>
      <w:pPr>
        <w:spacing w:after="120" w:line="312" w:lineRule="auto"/>
      </w:pPr>
      <w:r>
        <w:rPr>
          <w:rFonts w:ascii="DejaVu Serif" w:hAnsi="DejaVu Serif" w:eastAsia="Noto Serif CJK SC"/>
          <w:color w:val="000000"/>
          <w:sz w:val="22"/>
        </w:rPr>
        <w:pict>
          <v:rect style="width:0;height:1.5pt" o:hralign="center" o:hrstd="t" o:hr="t"/>
        </w:pict>
      </w:r>
    </w:p>
    <w:bookmarkStart w:id="36" w:name="Xda45db69da9528ad2bb89ad25d7a376ce00a3b8"/>
    <w:p>
      <w:pPr>
        <w:pStyle w:val="Heading3"/>
        <w:spacing w:after="120" w:line="312" w:lineRule="auto"/>
        <w:jc w:val="left"/>
      </w:pPr>
      <w:r>
        <w:rPr>
          <w:rFonts w:ascii="DejaVu Serif" w:hAnsi="DejaVu Serif" w:eastAsia="Noto Serif CJK SC"/>
          <w:color w:val="000000"/>
          <w:sz w:val="26"/>
        </w:rPr>
        <w:t xml:space="preserve">Article 8 【Description of the Work, Activities, Living Conditions and Ways of Life (Ideal Life, Personality) the Author Intends to Pursue】</w:t>
      </w:r>
    </w:p>
    <w:p>
      <w:pPr>
        <w:pStyle w:val="FirstParagraph"/>
        <w:spacing w:after="120" w:line="312" w:lineRule="auto"/>
      </w:pPr>
      <w:r>
        <w:rPr>
          <w:rFonts w:ascii="DejaVu Serif" w:hAnsi="DejaVu Serif" w:eastAsia="Noto Serif CJK SC"/>
          <w:color w:val="000000"/>
          <w:sz w:val="22"/>
        </w:rPr>
        <w:t xml:space="preserve">I intend to continuously engage in a series of activities related to planning for work concerning foreign-related affairs (especially commercial, investment, and financial activities), including consulting, planning, agency, exhibitions and conferences, tourism, writing, audio-video recording, language and speech translation, and publishing, through a sojourning approach.</w:t>
      </w:r>
    </w:p>
    <w:p>
      <w:pPr>
        <w:pStyle w:val="BodyText"/>
        <w:spacing w:after="120" w:line="312" w:lineRule="auto"/>
      </w:pPr>
      <w:r>
        <w:rPr>
          <w:rFonts w:ascii="DejaVu Serif" w:hAnsi="DejaVu Serif" w:eastAsia="Noto Serif CJK SC"/>
          <w:color w:val="000000"/>
          <w:sz w:val="22"/>
        </w:rPr>
        <w:t xml:space="preserve">Engaging in organizational work and, based on the aforementioned matters, conducting entrepreneurship, investment, private fund management (including equity investment and securities investment types ²), operation and management of asset management companies, establishment and operation of asset management companies, and activities related to the global asset allocation of individuals and families, and thereby, through [monthly cash flow income of 100,000+ RMB], ultimately enjoying the maximally feasible free state and mode of private, independent, travel-resident-style private work and lifestyle. (Note: ² The minimum feasible condition is to obtain the fund industry qualification and securities industry qualification respectively issued by the Asset Management Association of China and the Securities Association of China; if necessary, obtaining qualifications such as CFA and/or MF and other related qualifications may be considered.)</w:t>
      </w:r>
    </w:p>
    <w:tbl>
      <w:tblPr>
        <w:tblStyle w:val="Table"/>
        <w:tblW w:type="pct" w:w="5005"/>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8"/>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 intend to continuously engage in a series of planning and organizational work related to consulting, planning, agency, exhibitions, tourism, writing, audio-video production, language translation, publishing, and other activities related to foreign affairs (especially commercial, investment, and financial-related activities) through a sojourning lifestyle; and on this basis, to undertake entrepreneurship, investment, private placement fund management (including equity investment and securities investment classes), establishment and operation of asset management companies, and global asset allocation activities for individuals and families; and thereby, through a monthly cash flow income of RMB 100,000+, ultimately enjoy the maximum feasible free ideal state and mode of private and independent sojourning-style private office and lifestyle.</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Sub-commentary: This Article details the Charter-Maker’s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Ideal Life Vision,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which is a specific elaboration of Article 1’s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Life Direction Forward.</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Its structure is a three-tiered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means—path—objective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using sojourning and planning/organization of foreign affairs as the</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means</w:t>
            </w:r>
            <w:r>
              <w:rPr>
                <w:rFonts w:ascii="DejaVu Serif" w:hAnsi="DejaVu Serif" w:eastAsia="Noto Sans CJK SC"/>
                <w:color w:val="000000"/>
                <w:sz w:val="19"/>
              </w:rPr>
              <w:t xml:space="preserve">, using entrepreneurship, investment, private placement funds, and asset management as the</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path</w:t>
            </w:r>
            <w:r>
              <w:rPr>
                <w:rFonts w:ascii="DejaVu Serif" w:hAnsi="DejaVu Serif" w:eastAsia="Noto Sans CJK SC"/>
                <w:color w:val="000000"/>
                <w:sz w:val="19"/>
              </w:rPr>
              <w:t xml:space="preserve">, and using</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monthly RMB 100,000+ cash flow income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private and independent sojourning-style free life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the</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objective</w:t>
            </w:r>
            <w:r>
              <w:rPr>
                <w:rFonts w:ascii="DejaVu Serif" w:hAnsi="DejaVu Serif" w:eastAsia="Noto Sans CJK SC"/>
                <w:color w:val="000000"/>
                <w:sz w:val="19"/>
              </w:rPr>
              <w:t xml:space="preserve">. This Article, together with Article 8-2 [Order of Direction], Article 8-3 [Venture Capital Red Lines], Article 8-4 [Substitutability of Private Placement Funds], and Article 8-5 [Non-monetary Contributions], collectively constitutes the complete regulation for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Ideal Life.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Sojourning mode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does not refer to traveling, but to my core work and life form (connecting with Article 22 [Global Sojourning Life State]).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Foreign affairs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are based on language and encompass consulting, planning, agency, exhibitions, translation, publishing, etc., consistent with my identity as a</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polyglot, multilingual writer, international sojourner</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2).</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Monthly RMB 100,000+ cash flow income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the quantitative threshold for a free life, connecting with Article 18 [Daily USD 45 Cash Flow Floor], Article 19 [Cash Reserves], and Article 21 [Ultimate Goal] to form a financial ladder. The parenthetical note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requiring the minimum feasible condition of obtaining fund qualification and securities qualification respectively issued by the Asset Management Association of China and the Securities Association of China</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the compliance prerequisite for entering the private placement fund field.</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Articles 8-2 to 8-5, Article 21 [Ultimate Life Goal], Article 22 [Global Sojourning Life State], Article 57 [Sources of Cash Flow], Article 107 [Smooth Industry Transition in Life I].</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36"/>
    <w:bookmarkStart w:id="37" w:name="X0ae10e5111d7aed3b584483b0c2e1af3f05b384"/>
    <w:p>
      <w:pPr>
        <w:pStyle w:val="Heading3"/>
        <w:spacing w:after="120" w:line="312" w:lineRule="auto"/>
        <w:jc w:val="left"/>
      </w:pPr>
      <w:r>
        <w:rPr>
          <w:rFonts w:ascii="DejaVu Serif" w:hAnsi="DejaVu Serif" w:eastAsia="Noto Serif CJK SC"/>
          <w:color w:val="000000"/>
          <w:sz w:val="26"/>
        </w:rPr>
        <w:t xml:space="preserve">Article 8-2 【Sequential Arrangement of the Directions of Life’s Advancement】</w:t>
      </w:r>
    </w:p>
    <w:p>
      <w:pPr>
        <w:pStyle w:val="FirstParagraph"/>
        <w:spacing w:after="120" w:line="312" w:lineRule="auto"/>
      </w:pPr>
      <w:r>
        <w:rPr>
          <w:rFonts w:ascii="DejaVu Serif" w:hAnsi="DejaVu Serif" w:eastAsia="Noto Serif CJK SC"/>
          <w:color w:val="000000"/>
          <w:sz w:val="22"/>
        </w:rPr>
        <w:t xml:space="preserve">My life direction forward is arranged in the following order, with each step only requiring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minimum feasible essentialist steps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(1) Through industries such as consulting, planning³, agency, brokerage, leasing, and finance (including private equity funds, private securities funds, and their internationalization and globalization), conduct small-scale transactions for specific targets against specific needs; (Note: ³ Can be conducted orally or in writing.) (2) Upon meeting the minimum feasible conditions stipulated by the Company Law, establish a corporate legal entity; when revenue reaches 100 million+, simultaneously plan and design the top-tier structure of a [Group-oriented] corporate legal entity; (3) When revenue stabilizes at RMB 300,000+, begin recruiting 1-2 assistants; (4) When revenue stabilizes at RMB 1 million+, begin recruiting 1-2 employees, civil and commercial partners, civil and commercial cooperators, employees, civil and commercial partners, civil and commercial cooperators, employees (workers); (5) When revenue reaches 1 million+, begin documenting and standardizing business operations; (6) When revenue reaches 100 million+, begin strengthening marketing activities and increasing average transaction value; (7) When revenue reaches 100 million+, begin restructuring the entire business model (implementing membership systems, club systems, and top-tier design of internationalization and ecologicalization); (8) When revenue reaches 100 million+ and personal disposable surplus funds reach 10 million+, begin establishing private placement funds and conducting equity investments, subsequently establishing an asset management company.</w:t>
      </w:r>
    </w:p>
    <w:tbl>
      <w:tblPr>
        <w:tblStyle w:val="Table"/>
        <w:tblW w:type="pct" w:w="5005"/>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8"/>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My life direction forward is arranged in the following order, with each step only requiring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minimum feasible essentialist steps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(1) Through consulting, planning, agency, brokerage, leasing, and finance (including private equity funds, private securities funds, and their internationalization and globalization), conduct small-scale transactions for specific targets against specific needs; (2) Upon meeting the minimum feasible conditions stipulated by the Company Law, establish a corporate legal entity; when revenue reaches 100 million+, simultaneously plan and design the top-tier structure of a [Group-oriented] corporate legal entity; (3) When revenue stabilizes at RMB 300,000+, begin recruiting assistants; (4) When revenue stabilizes at RMB 1 million+, begin recruiting civil and commercial partners, civil and commercial cooperators, etc.; (5)… (The full text shall be subject to the authentic text.)</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Sub-commentary: This Article decomposes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Ideal Life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into a sequentially progressive ladder, with each step following the principle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smallest viable essentialist step</w:t>
            </w:r>
            <w:r>
              <w:rPr>
                <w:rFonts w:ascii="DejaVu Serif" w:hAnsi="DejaVu Serif" w:eastAsia="Noto Sans CJK SC"/>
                <w:color w:val="000000"/>
                <w:sz w:val="19"/>
              </w:rPr>
              <w:t xml:space="preserve">”</w:t>
            </w:r>
            <w:r>
              <w:rPr>
                <w:rFonts w:ascii="DejaVu Serif" w:hAnsi="DejaVu Serif" w:eastAsia="Noto Sans CJK SC"/>
                <w:color w:val="000000"/>
                <w:sz w:val="19"/>
              </w:rPr>
              <w:t xml:space="preserve">—not doing things prematurely, but only doing what is minimally necessary at the present moment. This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ladderized + minimum viable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approach is the methodological characteristic of this life strategy, sharing the same core principle with Article 49 [MVP Principle] and Article 59 [General Business Development Model].</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The sequence of the ladder progresses from</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small transactions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to</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establishing a legal entity,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forming a team,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group structure,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echoing Article 54 [From Nothing to the World’s Richest Human: All Stages]. All expressions involving</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recruiting personnel</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shall be understood in accordance with the terminology specified at the end of the Charter’s main text; terms such as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employee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hired personnel</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should all be construed as one or more types of civil and commercial partners or civil and commercial cooperators; the organizational form of this life is primarily based on partnerships and cooperation, not adopting an employment-based hierarchical system.</w:t>
            </w:r>
          </w:p>
        </w:tc>
      </w:tr>
      <w:tr>
        <w:tc>
          <w:tcPr/>
          <w:p>
            <w:pPr>
              <w:pStyle w:val="Compact"/>
              <w:spacing w:after="40" w:line="288" w:lineRule="auto"/>
              <w:jc w:val="left"/>
            </w:pPr>
            <w:r>
              <w:rPr>
                <w:rFonts w:ascii="DejaVu Serif" w:hAnsi="DejaVu Serif" w:eastAsia="Noto Sans CJK SC"/>
                <w:b/>
                <w:bCs/>
                <w:color w:val="C00000"/>
                <w:sz w:val="19"/>
              </w:rPr>
              <w:t xml:space="preserve">【Legislative History】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main text of this Article contains historical expressions such as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recruit 1-2 employees… civil and commercial partners, civil and commercial cooperators, employees,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all of which shall be understood in accordance with the Charter’s terminology and the exemption rules of the TERM-REVIEW-001对照表, with partnership and cooperative relationships as the substance.</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8, Article 8-3, Article 54, Article 59, Article 107.</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37"/>
    <w:bookmarkStart w:id="38" w:name="Xde0be6fbe1e42ee13e5a09078b609ecb9c9d299"/>
    <w:p>
      <w:pPr>
        <w:pStyle w:val="Heading3"/>
        <w:spacing w:after="120" w:line="312" w:lineRule="auto"/>
        <w:jc w:val="left"/>
      </w:pPr>
      <w:r>
        <w:rPr>
          <w:rFonts w:ascii="DejaVu Serif" w:hAnsi="DejaVu Serif" w:eastAsia="Noto Serif CJK SC"/>
          <w:color w:val="000000"/>
          <w:sz w:val="26"/>
        </w:rPr>
        <w:t xml:space="preserve">Article 8-3 【Red Lines for the Author’s Venture-Capital Activities】</w:t>
      </w:r>
    </w:p>
    <w:p>
      <w:pPr>
        <w:pStyle w:val="FirstParagraph"/>
        <w:spacing w:after="120" w:line="312" w:lineRule="auto"/>
      </w:pPr>
      <w:r>
        <w:rPr>
          <w:rFonts w:ascii="DejaVu Serif" w:hAnsi="DejaVu Serif" w:eastAsia="Noto Serif CJK SC"/>
          <w:color w:val="000000"/>
          <w:sz w:val="22"/>
        </w:rPr>
        <w:t xml:space="preserve">The red lines for my venture capital activities are as follows: (1) Assets with negative cash flow are not permitted: ①. Total cost amount; ②. Deposit or monthly payment; ③. Comprehensive macro interest rate; ④. Cash flow; ⑤. Total liability amount; ⑥. Self-funded amount. (2) Loans where the monthly bank payment and interest exceed the positive cash inflow amount are not permitted.</w:t>
      </w:r>
    </w:p>
    <w:p>
      <w:pPr>
        <w:pStyle w:val="Compact"/>
        <w:numPr>
          <w:ilvl w:val="0"/>
          <w:numId w:val="1008"/>
        </w:numPr>
        <w:spacing w:after="120" w:line="312" w:lineRule="auto"/>
      </w:pPr>
      <w:r>
        <w:rPr>
          <w:rFonts w:ascii="DejaVu Serif" w:hAnsi="DejaVu Serif" w:eastAsia="Noto Serif CJK SC"/>
          <w:color w:val="000000"/>
          <w:sz w:val="22"/>
        </w:rPr>
        <w:t xml:space="preserve">When financing from venture capital (VC), absolutely do not sign personal joint guarantees. (4) In principle, only initiate light asset, zero-cost, or low-cost entrepreneurial projects. (5) Other situations involving clauses that are essentially identical in nature and that damage my rights and interests of the same or similar nature.</w:t>
      </w:r>
    </w:p>
    <w:tbl>
      <w:tblPr>
        <w:tblStyle w:val="Table"/>
        <w:tblW w:type="pct" w:w="5007"/>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0"/>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red lines for my venture capital activities are as follows: (1) Assets with negative cash flow are not permitted: ①. Total cost amount; ②. Deposit or monthly payment; ③. Comprehensive macro interest rate; ④. Cash flow; ⑤. Total liability amount; ⑥. Self-funded amount. (2) Loans where the monthly bank payment and interest exceed the positive cash inflow amount are not permitted. (3) When financing from venture capital (VC), absolutely do not sign personal joint guarantees. (4) In principle, only initiate light asset, zero-cost, or low-cost entrepreneurial projects. (5) Other situations involving clauses that are essentially identical in nature and that damage my rights and interests of the same or similar nature.</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establishes five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insurmountable red lines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for all my entrepreneurial and investment activities, with its core spirit being</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absolutely not to bear debts that restrict freedom and absolutely not to assume personal joint liability</w:t>
            </w:r>
            <w:r>
              <w:rPr>
                <w:rFonts w:ascii="DejaVu Serif" w:hAnsi="DejaVu Serif" w:eastAsia="Noto Sans CJK SC"/>
                <w:color w:val="000000"/>
                <w:sz w:val="19"/>
              </w:rPr>
              <w:t xml:space="preserve">. This, together with Article 8-4</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Private Fund Not Mandatory,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8-5, and the series of debt clauses in Article 68, jointly safeguards the financial safety bottom line of this life.</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Items (1) and (2) are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financial red lines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—any assets with negative cash flow or loans where monthly payments exceed cash inflow are absolutely not permitted; this is the iron law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cash flow-ism,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consistent with Articles 17, 19, and 21. Item (3) is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guarantee red line</w:t>
            </w:r>
            <w:r>
              <w:rPr>
                <w:rFonts w:ascii="DejaVu Serif" w:hAnsi="DejaVu Serif" w:eastAsia="Noto Sans CJK SC"/>
                <w:color w:val="000000"/>
                <w:sz w:val="19"/>
              </w:rPr>
              <w:t xml:space="preserve">”</w:t>
            </w:r>
            <w:r>
              <w:rPr>
                <w:rFonts w:ascii="DejaVu Serif" w:hAnsi="DejaVu Serif" w:eastAsia="Noto Sans CJK SC"/>
                <w:color w:val="000000"/>
                <w:sz w:val="19"/>
              </w:rPr>
              <w:t xml:space="preserve">—once a</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personal joint guarantee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signed, personal freedom and asset security become subject to others, hence it is resolutely not signed. Item (4) is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asset structure red line</w:t>
            </w:r>
            <w:r>
              <w:rPr>
                <w:rFonts w:ascii="DejaVu Serif" w:hAnsi="DejaVu Serif" w:eastAsia="Noto Sans CJK SC"/>
                <w:color w:val="000000"/>
                <w:sz w:val="19"/>
              </w:rPr>
              <w:t xml:space="preserve">”</w:t>
            </w:r>
            <w:r>
              <w:rPr>
                <w:rFonts w:ascii="DejaVu Serif" w:hAnsi="DejaVu Serif" w:eastAsia="Noto Sans CJK SC"/>
                <w:color w:val="000000"/>
                <w:sz w:val="19"/>
              </w:rPr>
              <w:t xml:space="preserve">—in principle, only light asset projects are undertaken, as the predicament of heavy assets contradicts the aspiration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global sojourn.</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8, Article 8-4, Article 8-5, Article 19 [Cash Reserves], Article 21 [Ultimate Goals], Article 68-2 to 68-6 [Debt Repayment].</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38"/>
    <w:bookmarkStart w:id="39" w:name="X7735962558eafbedefc41721960fd579cd03e59"/>
    <w:p>
      <w:pPr>
        <w:pStyle w:val="Heading3"/>
        <w:spacing w:after="120" w:line="312" w:lineRule="auto"/>
        <w:jc w:val="left"/>
      </w:pPr>
      <w:r>
        <w:rPr>
          <w:rFonts w:ascii="DejaVu Serif" w:hAnsi="DejaVu Serif" w:eastAsia="Noto Serif CJK SC"/>
          <w:color w:val="000000"/>
          <w:sz w:val="26"/>
        </w:rPr>
        <w:t xml:space="preserve">Article 8-4 【Substitutability of the Establishment of a Private Fund】</w:t>
      </w:r>
    </w:p>
    <w:p>
      <w:pPr>
        <w:pStyle w:val="FirstParagraph"/>
        <w:spacing w:after="120" w:line="312" w:lineRule="auto"/>
      </w:pPr>
      <w:r>
        <w:rPr>
          <w:rFonts w:ascii="DejaVu Serif" w:hAnsi="DejaVu Serif" w:eastAsia="Noto Serif CJK SC"/>
          <w:color w:val="000000"/>
          <w:sz w:val="22"/>
        </w:rPr>
        <w:t xml:space="preserve">I, in accordance with the law and the principles of this Charter, within the scope of this Charter, classify the establishment of a private fund as an optional item, but under no circumstances is it a mandatory life project **# This clause is newly added in accordance with Article 3 of the First Amendment, reducing the mandatory requirements for establishing a private fund, providing more flexibility for life planning, and avoiding single-path dependency #*｡</w:t>
      </w:r>
    </w:p>
    <w:tbl>
      <w:tblPr>
        <w:tblStyle w:val="Table"/>
        <w:tblW w:type="pct" w:w="5010"/>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6"/>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 in accordance with the law and the principles of this Charter, within the scope of this Charter, classify the establishment of a private fund as an optional item, but under no circumstances is it a mandatory life project. * (This clause is newly added in accordance with Article 3 of the First Amendment.)*</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Sub-commentary: This Article, newly added by the First Amendment, provides flexibility for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Ideal Life</w:t>
            </w:r>
            <w:r>
              <w:rPr>
                <w:rFonts w:ascii="DejaVu Serif" w:hAnsi="DejaVu Serif" w:eastAsia="Noto Sans CJK SC"/>
                <w:color w:val="000000"/>
                <w:sz w:val="19"/>
              </w:rPr>
              <w:t xml:space="preserve">”</w:t>
            </w:r>
            <w:r>
              <w:rPr>
                <w:rFonts w:ascii="DejaVu Serif" w:hAnsi="DejaVu Serif" w:eastAsia="Noto Sans CJK SC"/>
                <w:color w:val="000000"/>
                <w:sz w:val="19"/>
              </w:rPr>
              <w:t xml:space="preserve">—changing the establishment of a private fund from</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mandatory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to</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optional.</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Its meaning lies in: multiple life paths run in parallel, not being constrained by a single path, which is the principle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substitutability.</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in cross-reference with Article 8-2 [Direction and Sequence] and Article 107 [Industry Leaping], shows that the planning of this life is wise in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multiple paths running in parallel, advancing opportunistically,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rather than insisting on a single path. The three legal entities listed in Article 1-2 (investment bank, asset management company, private fund company) are all now optional, to be determined based on conditions and the situation.</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1-2 【Supreme Programmatic Ideal】, Article 8, Article 8-5, Article 107 【Industry Leapfrogging】, First Amendment (Annex A.01.001).</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39"/>
    <w:bookmarkStart w:id="40" w:name="X24e32a55bf343e8bcdd38e32cf603ef4202ff4b"/>
    <w:p>
      <w:pPr>
        <w:pStyle w:val="Heading3"/>
        <w:spacing w:after="120" w:line="312" w:lineRule="auto"/>
        <w:jc w:val="left"/>
      </w:pPr>
      <w:r>
        <w:rPr>
          <w:rFonts w:ascii="DejaVu Serif" w:hAnsi="DejaVu Serif" w:eastAsia="Noto Serif CJK SC"/>
          <w:color w:val="000000"/>
          <w:sz w:val="26"/>
        </w:rPr>
        <w:t xml:space="preserve">Article 8-5 【Permissibility of Non-Monetary Ways for Shareholders to Enter Investment】</w:t>
      </w:r>
    </w:p>
    <w:p>
      <w:pPr>
        <w:pStyle w:val="FirstParagraph"/>
        <w:spacing w:after="120" w:line="312" w:lineRule="auto"/>
      </w:pPr>
      <w:r>
        <w:rPr>
          <w:rFonts w:ascii="DejaVu Serif" w:hAnsi="DejaVu Serif" w:eastAsia="Noto Serif CJK SC"/>
          <w:color w:val="000000"/>
          <w:sz w:val="22"/>
        </w:rPr>
        <w:t xml:space="preserve">Under this Charter, the methods by which I (any person investing in corporations, enterprises, or other legal or non-legal entities) may invest through non-monetary entry investment methods for shareholders are permitted to be realized through: (1) by equity; (2) by debt claims; (3) by intellectual property rights (IPR); (4) by the right to use specific appraisable assets that are legally permitted to be invested as shares; (5) by a combination investment of one or more other legally available non-monetary entry investment assets for shareholders **#This clause is newly added based on Article 4 of the First Amendment, expanding the diversity of investment methods to adapt to the investment needs of different asset types (such as intellectual property rights, asset usage rights), and reducing reliance on monetary funds #*｡</w:t>
      </w:r>
    </w:p>
    <w:tbl>
      <w:tblPr>
        <w:tblStyle w:val="Table"/>
        <w:tblW w:type="pct" w:w="5008"/>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2"/>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Under this Charter, the methods by which I (any person investing in corporations, enterprises, or other legal or non-legal entities) may invest through non-monetary entry investment methods for shareholders are permitted to be realized through: (1) by equity; (2) by debt claims; (3) by intellectual property rights (IPR); (4) by the right to use specific appraisable assets that are legally permitted to be invested as shares; (5) by a combination investment of one or more other legally available non-monetary entry investment assets for shareholders.</w:t>
            </w:r>
            <w:r>
              <w:rPr>
                <w:rFonts w:ascii="DejaVu Serif" w:hAnsi="DejaVu Serif" w:eastAsia="Noto Sans CJK SC"/>
                <w:color w:val="000000"/>
                <w:sz w:val="19"/>
              </w:rPr>
              <w:t xml:space="preserve"> </w:t>
            </w:r>
            <w:r>
              <w:rPr>
                <w:rFonts w:ascii="DejaVu Serif" w:hAnsi="DejaVu Serif" w:eastAsia="Noto Sans CJK SC"/>
                <w:i/>
                <w:iCs/>
                <w:color w:val="000000"/>
                <w:sz w:val="19"/>
              </w:rPr>
              <w:t xml:space="preserve">（This clause is newly added based on Article 4 of the First Amendment.）</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【Commentary】 states: This article was newly added by the First Amendment, broadening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capital contribution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methods for investment, allowing entry through non-monetary means such as equity, debt claims, intellectual property rights, and asset usage rights, providing diversity for asset allocation and reducing reliance on monetary funds.</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states: This article corresponds with Articles 100 to 103 【Intellectual Property Provisions】, Article 21 【Ultimate Objectives of Equity, Debt Claims, Securities, etc.】, indicating my asset perspective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IPR as the financial ark pillar.</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valuation and compliance of non-monetary capital contributions must be in accordance with the current Company Law and relevant departmental regulations.</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8, Article 21, Articles 100 to 103 【Intellectual Property】, First Amendment (Annex A.01.001).</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40"/>
    <w:bookmarkStart w:id="41" w:name="Xe931f8b52bf69b44ed4a433a60519070576fea9"/>
    <w:p>
      <w:pPr>
        <w:pStyle w:val="Heading3"/>
        <w:spacing w:after="120" w:line="312" w:lineRule="auto"/>
        <w:jc w:val="left"/>
      </w:pPr>
      <w:r>
        <w:rPr>
          <w:rFonts w:ascii="DejaVu Serif" w:hAnsi="DejaVu Serif" w:eastAsia="Noto Serif CJK SC"/>
          <w:color w:val="000000"/>
          <w:sz w:val="26"/>
        </w:rPr>
        <w:t xml:space="preserve">Article 9 【On the Formulation, Implementation Expectations and Mechanisms of the Strategies, Plans and Programs Covered by This Charter】</w:t>
      </w:r>
    </w:p>
    <w:p>
      <w:pPr>
        <w:pStyle w:val="FirstParagraph"/>
        <w:spacing w:after="120" w:line="312" w:lineRule="auto"/>
      </w:pPr>
      <w:r>
        <w:rPr>
          <w:rFonts w:ascii="DejaVu Serif" w:hAnsi="DejaVu Serif" w:eastAsia="Noto Serif CJK SC"/>
          <w:color w:val="000000"/>
          <w:sz w:val="22"/>
        </w:rPr>
        <w:t xml:space="preserve">The Charter-Maker shall formulate relevant expected indicators, implementation mechanisms, and supervision mechanisms concerning the formulation and implementation of this Charter, my personal life strategies, implementation policies, plans, and programs, and shall properly deploy the action content of relevant persons (including but not limited to relevant planners, commanders, organizers, implementers, supervisors, etc.), including but not limited to relevant specific content descriptions, evaluation dimensions and their expressions, relevant data indicators, etc., and shall properly manage the expectations and coordination mechanisms of relevant persons; adhere to the principle of disclosing the minimum feasible and necessary information to corresponding counterparties, and appropriately maintain confidentiality of relevant specific information to unspecified persons and unrelated persons (including relatives); at the same time, properly implement supervision and inspection for established tasks.</w:t>
      </w:r>
    </w:p>
    <w:tbl>
      <w:tblPr>
        <w:tblStyle w:val="Table"/>
        <w:tblW w:type="pct" w:w="5005"/>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8"/>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Charter-Maker shall formulate relevant expected indicators, implementation mechanisms, and supervision mechanisms concerning the formulation and implementation of this Charter, my personal life strategies, implementation policies, plans, and programs, and shall properly deploy the action content of relevant persons (including specific content descriptions, evaluation dimensions and their expressions, relevant data indicators, etc.), and shall properly manage the expectations and coordination mechanisms of relevant persons; adhere to the principle of disclosing (disclose) the minimum feasible and necessary information to corresponding counterparties, and appropriately maintain confidentiality of relevant specific information to unspecified persons and unrelated persons (including relatives); at the same time, properly implement supervision and inspection for established tasks.</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【Commentary】 states: 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implementation and supervision mechanisms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for the Charter, providing assurance for the implementation of my personal life strategies. Its main points are three:</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Establish indicators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(expected indicators, data indicators, evaluation dimensions)—to make objectives measurable;</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Set mechanisms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(implementation mechanisms, supervision mechanisms, expectation management and coordination mechanisms)—to make actions trackable;</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Define information rules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(minimum necessary disclosure to counterparties, appropriate confidentiality to unrelated persons)—to make information controllable.</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states: This article transplants the corporate governance logic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objectives—implementation—supervision—coordination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into personal life governance, reflecting the characteristic of this Charter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governing the self with the methods of governing a business.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principle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minimum feasible and necessary information disclosure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cross-referenced with Article 91 【Exemption from Good Faith Principle】, Article 114 【Paid Filtering】, and Annex A.05.001 【Credit Evaluation】. The essence of the supervision mechanism lies in the implementation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established tasks,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which is consistent with Article 119 【Review Principle】.</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119 【Review Principle】, Article 91 【Exemption from Good Faith Principle】, Article 93 【Meaning and Exemption of Patriotism】, Annex A.05.001.</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41"/>
    <w:bookmarkStart w:id="42" w:name="X710c5e5fd39b38d3935782fba5a5d09695fb2ea"/>
    <w:p>
      <w:pPr>
        <w:pStyle w:val="Heading3"/>
        <w:spacing w:after="120" w:line="312" w:lineRule="auto"/>
        <w:jc w:val="left"/>
      </w:pPr>
      <w:r>
        <w:rPr>
          <w:rFonts w:ascii="DejaVu Serif" w:hAnsi="DejaVu Serif" w:eastAsia="Noto Serif CJK SC"/>
          <w:color w:val="000000"/>
          <w:sz w:val="26"/>
        </w:rPr>
        <w:t xml:space="preserve">Article 10 【The Mission of the Entrepreneur, Business Owner, Investor and Private-Fund Manager】</w:t>
      </w:r>
    </w:p>
    <w:p>
      <w:pPr>
        <w:pStyle w:val="FirstParagraph"/>
        <w:spacing w:after="120" w:line="312" w:lineRule="auto"/>
      </w:pPr>
      <w:r>
        <w:rPr>
          <w:rFonts w:ascii="DejaVu Serif" w:hAnsi="DejaVu Serif" w:eastAsia="Noto Serif CJK SC"/>
          <w:color w:val="000000"/>
          <w:sz w:val="22"/>
        </w:rPr>
        <w:t xml:space="preserve">The mission of entrepreneurs, businesspersons, investors, and private fund managers is to use currency as a medium of trust and material foundation, to create self-operating assets (such as companies) to gain freedom of personal choice, to transform existing wage structures and corporate governance models, and thereby fulfill social responsibilities and realize one’s own life mission and vision.</w:t>
      </w:r>
    </w:p>
    <w:tbl>
      <w:tblPr>
        <w:tblStyle w:val="Table"/>
        <w:tblW w:type="pct" w:w="5009"/>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3"/>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mission of entrepreneurs, businesspersons, investors, and private fund managers is to use currency as a medium of trust and material foundation, to create self-operating assets (such as companies) to gain freedom of personal choice, to transform existing wage structures and corporate governance models, and thereby fulfill social responsibilities and realize one’s own life mission and vision.</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【Commentary】: This Article is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Professional Mission Declaration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the Charter-Maker. Its meaning is: the ultimate purpose of entrepreneurship, investment, and private fund management is not merely to make money, but to</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create self-operating assets to gain freedom</w:t>
            </w:r>
            <w:r>
              <w:rPr>
                <w:rFonts w:ascii="DejaVu Serif" w:hAnsi="DejaVu Serif" w:eastAsia="Noto Sans CJK SC"/>
                <w:color w:val="000000"/>
                <w:sz w:val="19"/>
              </w:rPr>
              <w:t xml:space="preserve">, and to</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transform the existing wage structures and corporate governance models</w:t>
            </w:r>
            <w:r>
              <w:rPr>
                <w:rFonts w:ascii="DejaVu Serif" w:hAnsi="DejaVu Serif" w:eastAsia="Noto Sans CJK SC"/>
                <w:color w:val="000000"/>
                <w:sz w:val="19"/>
              </w:rPr>
              <w:t xml:space="preserve">, thereby fulfilling social responsibilities and realizing life visions.</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To create self-operating assets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refers to the purpose of Article 20 【Core Asset Creation】—to exchange the automatic operation of assets for the freedom of personal choice.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To transform existing wage structures and corporate governance models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the social ideal of de-employment and promoting partnership and cooperation, which is connected with Article 10, Article 58 【The Nature of Wages】, and Article 63 【The Financial Ark Phase】.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To use currency as a medium of trust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corresponds with Article 68 【The Nature of Currency】.</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20 【Core Asset Creation】, Article 58 【The Nature of Wages】, Article 63 【The Financial Ark Construction Macro-Period】, Article 78 【The Ideal Upper Limit of Human Striving】.</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42"/>
    <w:bookmarkStart w:id="43" w:name="X6a1ac578b93d82fc0eb8f4d77b827338d7e96dc"/>
    <w:p>
      <w:pPr>
        <w:pStyle w:val="Heading3"/>
        <w:spacing w:after="120" w:line="312" w:lineRule="auto"/>
        <w:jc w:val="left"/>
      </w:pPr>
      <w:r>
        <w:rPr>
          <w:rFonts w:ascii="DejaVu Serif" w:hAnsi="DejaVu Serif" w:eastAsia="Noto Serif CJK SC"/>
          <w:color w:val="000000"/>
          <w:sz w:val="26"/>
        </w:rPr>
        <w:t xml:space="preserve">Article 11 【Enumeration and Declaration of the Author’s Relatively Strong Abilities】</w:t>
      </w:r>
    </w:p>
    <w:p>
      <w:pPr>
        <w:pStyle w:val="FirstParagraph"/>
        <w:spacing w:after="120" w:line="312" w:lineRule="auto"/>
      </w:pPr>
      <w:r>
        <w:rPr>
          <w:rFonts w:ascii="DejaVu Serif" w:hAnsi="DejaVu Serif" w:eastAsia="Noto Serif CJK SC"/>
          <w:color w:val="000000"/>
          <w:sz w:val="22"/>
        </w:rPr>
        <w:t xml:space="preserve">Through practical verification, my following abilities are relatively strong, especially those ranked higher, which should be continuously and primarily cultivated and developed: (6) The ability to make others act for me without resources (motivational, encouraging, guiding ability); (7) Management ability; (8) Decision-making ability; (9) Planning ability; (10) Organizational ability; (11) Logical ability; (12) Negotiation ability; (13) Language and speech ability; (14) Learning ability; (15) Leadership ability; (16) Comprehensive management ability: 1) Item 1. Especially capital management ability; 2) Item 2. Fund management ability; 3) Item 3. Organizational management ability; 4) Item 4. Core personnel management ability; (17) Influence and shaping ability (trend-making ability).</w:t>
      </w:r>
    </w:p>
    <w:tbl>
      <w:tblPr>
        <w:tblStyle w:val="Table"/>
        <w:tblW w:type="pct" w:w="5006"/>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0"/>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Through practical verification, my following abilities are relatively strong, especially those ranked higher, which should be continuously and primarily cultivated and developed: (over ten items, including</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ability to make others act for me without resources (motivational, encouraging, guiding ability)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management ability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decision-making ability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planning ability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organizational ability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logical ability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negotiation ability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language and speech ability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learning ability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leadership ability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comprehensive management ability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(including capital management, fund management, organizational management, core personnel management),</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influence and shaping ability (trend-making ability)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etc.; the full text shall be taken as the authentic text).</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【Commentary】: This Article is the Charter-Maker’s self-declaration and announcement of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List of Abilities,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its purpose being</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to know one’s strengths and develop them</w:t>
            </w:r>
            <w:r>
              <w:rPr>
                <w:rFonts w:ascii="DejaVu Serif" w:hAnsi="DejaVu Serif" w:eastAsia="Noto Sans CJK SC"/>
                <w:color w:val="000000"/>
                <w:sz w:val="19"/>
              </w:rPr>
              <w:t xml:space="preserve">”</w:t>
            </w:r>
            <w:r>
              <w:rPr>
                <w:rFonts w:ascii="DejaVu Serif" w:hAnsi="DejaVu Serif" w:eastAsia="Noto Sans CJK SC"/>
                <w:color w:val="000000"/>
                <w:sz w:val="19"/>
              </w:rPr>
              <w:t xml:space="preserve">—to establish a foundation for development based on self-awareness. This Article, together with Article 2 (Ideal Personality) and Article 32 (Knowledge Structure), constitutes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Ability-Cognition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self-awareness of the Charter-Maker.</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Among the listed abilities,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ability to make others act for me without resources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(motivation, guidance) is ranked first, showing that the Charter-Maker’s method of accomplishing things emphasizes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using the power of others to achieve things</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—that is, organization, motivation, and integration, rather than doing everything personally, which is connected with Article 27 【The Principle of Focus on Core Actions】 and Article 71 【Layout and Market-Making Mindset】.</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Comprehensive management ability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includes capital management, fund management, organizational management, and core personnel management, which corresponds with Article 8-3 【Venture Capital Red Lines】 and Article 10 【Mission】.</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2 【Ideal Personality】, Article 32 【Knowledge Structure and Cognitive Map】, Article 27 【The Principle of Focus on Core Actions】, Article 71 【Layout and Market-Making Mindset】.</w:t>
            </w:r>
          </w:p>
        </w:tc>
      </w:tr>
    </w:tbl>
    <w:bookmarkEnd w:id="43"/>
    <w:bookmarkEnd w:id="44"/>
    <w:bookmarkStart w:id="57" w:name="X34ad3012e7d887b90c2bc1103d7ba125a19cbb7"/>
    <w:p>
      <w:pPr>
        <w:pStyle w:val="Heading2"/>
        <w:spacing w:after="160" w:line="312" w:lineRule="auto"/>
        <w:jc w:val="left"/>
      </w:pPr>
      <w:r>
        <w:rPr>
          <w:rFonts w:ascii="DejaVu Serif" w:hAnsi="DejaVu Serif" w:eastAsia="Noto Serif CJK SC"/>
          <w:color w:val="000000"/>
          <w:sz w:val="30"/>
        </w:rPr>
        <w:t xml:space="preserve">Volume Three Chapter on Life Bottom Lines</w:t>
      </w:r>
    </w:p>
    <w:p>
      <w:pPr>
        <w:spacing w:after="120" w:line="312" w:lineRule="auto"/>
      </w:pPr>
      <w:r>
        <w:rPr>
          <w:rFonts w:ascii="DejaVu Serif" w:hAnsi="DejaVu Serif" w:eastAsia="Noto Serif CJK SC"/>
          <w:color w:val="000000"/>
          <w:sz w:val="22"/>
        </w:rPr>
        <w:pict>
          <v:rect style="width:0;height:1.5pt" o:hralign="center" o:hrstd="t" o:hr="t"/>
        </w:pict>
      </w:r>
    </w:p>
    <w:bookmarkStart w:id="45" w:name="Xd09fd057d37d603e3c80ccd6508f640f579d36d"/>
    <w:p>
      <w:pPr>
        <w:pStyle w:val="Heading3"/>
        <w:spacing w:after="120" w:line="312" w:lineRule="auto"/>
        <w:jc w:val="left"/>
      </w:pPr>
      <w:r>
        <w:rPr>
          <w:rFonts w:ascii="DejaVu Serif" w:hAnsi="DejaVu Serif" w:eastAsia="Noto Serif CJK SC"/>
          <w:color w:val="000000"/>
          <w:sz w:val="26"/>
        </w:rPr>
        <w:t xml:space="preserve">Article 12 【Declaration of the Absolute Baseline of Life】</w:t>
      </w:r>
    </w:p>
    <w:p>
      <w:pPr>
        <w:pStyle w:val="FirstParagraph"/>
        <w:spacing w:after="120" w:line="312" w:lineRule="auto"/>
      </w:pPr>
      <w:r>
        <w:rPr>
          <w:rFonts w:ascii="DejaVu Serif" w:hAnsi="DejaVu Serif" w:eastAsia="Noto Serif CJK SC"/>
          <w:color w:val="000000"/>
          <w:sz w:val="22"/>
        </w:rPr>
        <w:t xml:space="preserve">Under no circumstances shall one’s actions actually violate the degree of seven years or more of imprisonment (with lifelong deprivation of political rights) as stipulated in the Criminal Law and its judicial interpretations (constituting a crime and sentenced to seven years or more of imprisonment), or exceed the above limits.</w:t>
      </w:r>
    </w:p>
    <w:tbl>
      <w:tblPr>
        <w:tblStyle w:val="Table"/>
        <w:tblW w:type="pct" w:w="5006"/>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0"/>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Under no circumstances shall one’s actions actually violate the degree of seven years or more of imprisonment (with lifelong deprivation of political rights) as stipulated in the Criminal Law and its judicial interpretations (constituting a crime and sentenced to seven years or more of imprisonment), or exceed the above limits.</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Sub-commentary: This Article establishes the Charter’s</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absolute bottom line</w:t>
            </w:r>
            <w:r>
              <w:rPr>
                <w:rFonts w:ascii="DejaVu Serif" w:hAnsi="DejaVu Serif" w:eastAsia="Noto Sans CJK SC"/>
                <w:color w:val="000000"/>
                <w:sz w:val="19"/>
              </w:rPr>
              <w:t xml:space="preserve">, declaring the insurmountable boundary for the Charter-Maker’s conduct—imprisonment for a term of not less than seven years. The establishment of this Article is not to grant permission for certain actions, but to impose</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self-imposed limitations</w:t>
            </w:r>
            <w:r>
              <w:rPr>
                <w:rFonts w:ascii="DejaVu Serif" w:hAnsi="DejaVu Serif" w:eastAsia="Noto Sans CJK SC"/>
                <w:color w:val="000000"/>
                <w:sz w:val="19"/>
              </w:rPr>
              <w:t xml:space="preserve">: using the most severe punishment in criminal law as the measure, it demarcates a zone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absolute prohibition.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absolute bottom-line standard for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Principle of Illegality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Article 2(11) originates from this Article.</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uses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imprisonment for a term of not less than seven years (with lifelong deprivation of political rights)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the absolute standard. Its legislative technique is ingenious: instead of itemizing prohibited acts one by one, it uses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level of criminal penalty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the standard, which automatically adjusts with revisions to the criminal law (see Interpretive Letter Annex H.01.001). The nature of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risk boundary scale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shown in Article 125 [Response to Revisions of Laws and Regulations] and the final paragraph of Article 127 is manifested here—this Article is about</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imposing limits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rather than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granting authorization.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13 further clarifies various absolute prohibitions, limited to</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not personally violating.</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【Question】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If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not less than seven years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this Article changes due to revisions to the criminal law, would the Charter not change accordingly?</w:t>
            </w:r>
          </w:p>
        </w:tc>
      </w:tr>
      <w:tr>
        <w:tc>
          <w:tcPr/>
          <w:p>
            <w:pPr>
              <w:pStyle w:val="Compact"/>
              <w:spacing w:after="40" w:line="288" w:lineRule="auto"/>
              <w:jc w:val="left"/>
            </w:pPr>
            <w:r>
              <w:rPr>
                <w:rFonts w:ascii="DejaVu Serif" w:hAnsi="DejaVu Serif" w:eastAsia="Noto Sans CJK SC"/>
                <w:b/>
                <w:bCs/>
                <w:color w:val="C00000"/>
                <w:sz w:val="19"/>
              </w:rPr>
              <w:t xml:space="preserve">【Answer】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Indeed. This Article uses the level of criminal penalty as its standard, not a fixed article number. Therefore, when the criminal law is revised, its standard automatically updates according to the judicial interpretations of the criminal law, without the need to amend the Charter. Interpretive Letter Annex H.01.001 has already provided an authoritative interpretation on this matter; refer to that letter.</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13, Article 14, Article 49, Article 79, Annex H.01.001 [Interpretive Letter], Article 125.</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45"/>
    <w:bookmarkStart w:id="46" w:name="X6d06ca8ed6bdd4bcb4301c091b2b051c2558005"/>
    <w:p>
      <w:pPr>
        <w:pStyle w:val="Heading3"/>
        <w:spacing w:after="120" w:line="312" w:lineRule="auto"/>
        <w:jc w:val="left"/>
      </w:pPr>
      <w:r>
        <w:rPr>
          <w:rFonts w:ascii="DejaVu Serif" w:hAnsi="DejaVu Serif" w:eastAsia="Noto Serif CJK SC"/>
          <w:color w:val="000000"/>
          <w:sz w:val="26"/>
        </w:rPr>
        <w:t xml:space="preserve">Article 13 【Supplementary Explanation of the Declaration of the Absolute Baseline of Life】</w:t>
      </w:r>
    </w:p>
    <w:p>
      <w:pPr>
        <w:pStyle w:val="FirstParagraph"/>
        <w:spacing w:after="120" w:line="312" w:lineRule="auto"/>
      </w:pPr>
      <w:r>
        <w:rPr>
          <w:rFonts w:ascii="DejaVu Serif" w:hAnsi="DejaVu Serif" w:eastAsia="Noto Serif CJK SC"/>
          <w:color w:val="000000"/>
          <w:sz w:val="22"/>
        </w:rPr>
        <w:t xml:space="preserve">The Charter-Maker’s absolute bottom line is, in principle, not to personally violate the corresponding articles of the criminal law and related judicial interpretations applicable at the time of the commission of [which may, when necessary, be discussed with others and implemented by their proxy] the following: (1) a single crime punishable by imprisonment for a term of more than seven years (excluding this number); (2) in the case of multiple crimes, cumulative imprisonment of twenty years or more (including this number), or life imprisonment or more; (3) to ensure that the Charter-Maker is absolutely not subject to the punishment of death penalty or life imprisonment (as well as lifelong deprivation of political rights) [because the Charter-Maker regards the right to life, right to survival, right to health, and right to bodily integrity as supreme rights, and in principle accepts imprisonment for five, up to seven, and at most ten years for a single act; and for multiple acts, at most twenty years of imprisonment].</w:t>
      </w:r>
    </w:p>
    <w:tbl>
      <w:tblPr>
        <w:tblStyle w:val="Table"/>
        <w:tblW w:type="pct" w:w="5005"/>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7"/>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Charter-Maker’s absolute bottom line is, in principle, not to personally violate the corresponding articles of the criminal law and related judicial interpretations applicable at the time of the commission of [which may, when necessary, be discussed with others and implemented by their proxy] the following: (1) a single crime punishable by imprisonment for a term of more than seven years (excluding this number); (2) in the case of multiple crimes, cumulative imprisonment of twenty years or more (including this number), or life imprisonment or more; (3) to ensure that the Charter-Maker is absolutely not subject to the punishment of death penalty or life imprisonment (as well as lifelong deprivation of political rights) (because the Charter-Maker regards the right to life, right to survival, right to health, and right to bodily integrity as supreme rights, and in principle accepts imprisonment for five, up to seven, and at most ten years for a single act; and for multiple acts, at most twenty years of imprisonment).</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Sub-commentary: This Article serves as a</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supplementary explanation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to Article 12, refining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absolute bottom line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into three quantitative standards: for a single crime, not exceeding seven years (excluding this number); for multiple crimes, not exceeding twenty years in cumulative sentence (excluding this number, in practice an upper limit); and absolutely not being subject to death penalty or life imprisonment for oneself. The legislative intent is to use quantifiable prison terms as boundaries to make the bottom line clear and discernible.</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The phrase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in principle, not to personally violate… which may, when necessary, be discussed with others and implemented by their proxy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this Article constitutes the operational rules for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Principle of Illegality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the Charter-Maker, in principle, does not personally implement acts that touch upon the absolute bottom line. When necessary (within the limits of acceptable prison terms), proxy may be employed, and the applicable procedures and review of Articles 14 and 15 must be strictly observed. Note that</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accepting at most ten years of imprisonment for a single act and at most twenty years for multiple acts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a psychological threshold in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extreme situations,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not an encouragement to do so; Article 14 explicitly defines it as a</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special extraordinary means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 a</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transitory, temporary means,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which cannot be used as a long-term strategy.</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12, Article 14, Article 15, Article 49, Annex H.01.001.</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46"/>
    <w:bookmarkStart w:id="47" w:name="article-13-2-prohibited-conduct-1"/>
    <w:p>
      <w:pPr>
        <w:pStyle w:val="Heading3"/>
        <w:spacing w:after="120" w:line="312" w:lineRule="auto"/>
        <w:jc w:val="left"/>
      </w:pPr>
      <w:r>
        <w:rPr>
          <w:rFonts w:ascii="DejaVu Serif" w:hAnsi="DejaVu Serif" w:eastAsia="Noto Serif CJK SC"/>
          <w:color w:val="000000"/>
          <w:sz w:val="26"/>
        </w:rPr>
        <w:t xml:space="preserve">Article 13-2 【Prohibited Conduct (1)】</w:t>
      </w:r>
    </w:p>
    <w:p>
      <w:pPr>
        <w:pStyle w:val="FirstParagraph"/>
        <w:spacing w:after="120" w:line="312" w:lineRule="auto"/>
      </w:pPr>
      <w:r>
        <w:rPr>
          <w:rFonts w:ascii="DejaVu Serif" w:hAnsi="DejaVu Serif" w:eastAsia="Noto Serif CJK SC"/>
          <w:color w:val="000000"/>
          <w:sz w:val="22"/>
        </w:rPr>
        <w:t xml:space="preserve">Under no circumstances shall I engage in the following acts: (4) Depriving or indirectly depriving another (relative) person of life, (5) Depriving or indirectly depriving another (relative) person of the right to survival, (6) Depriving or indirectly depriving or intending to harm the physical health of another (relative) person, or subjecting them to physical (cruel) abuse, (7) [Legal and regulatory compliance requirements omitted]</w:t>
      </w:r>
      <w:r>
        <w:rPr>
          <w:rFonts w:ascii="DejaVu Serif" w:hAnsi="DejaVu Serif" w:eastAsia="Noto Serif CJK SC"/>
          <w:b/>
          <w:bCs/>
          <w:i/>
          <w:iCs/>
          <w:color w:val="000000"/>
          <w:sz w:val="22"/>
        </w:rPr>
        <w:t xml:space="preserve">, (8) [Legal and regulatory compliance requirements omitted]</w:t>
      </w:r>
      <w:r>
        <w:rPr>
          <w:rFonts w:ascii="DejaVu Serif" w:hAnsi="DejaVu Serif" w:eastAsia="Noto Serif CJK SC"/>
          <w:color w:val="000000"/>
          <w:sz w:val="22"/>
        </w:rPr>
        <w:t xml:space="preserve">, (9) In any other manner depriving others of rights that are essentially the same as the aforementioned rights but have different names, (10) Participating in activities involving drugs, criminal organizations of a mafia nature, (international) terrorist organizations, or (international) extremist organizations, (11) Participating in gambling in regions under the jurisdiction of the Criminal Law of the People’s Republic of China or leading citizens of the People’s Republic of China to gamble abroad (excluding non-organized, spontaneous, and scattered gambling activities abroad organized by myself), (12) Depriving others of the right to independent thinking and the right to make autonomous choices based on independent thinking, for purposes that are not subjectively benevolent, (13) Participating in gambling in regions under the jurisdiction of the Criminal Law of the People’s Republic of China or leading citizens of the People’s Republic of China to gamble abroad (excluding non-organized, spontaneous, and scattered gambling activities abroad organized by myself)*# This clause was newly added based 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Correction Bill (II)</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clarifying the absolutely prohibited acts under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any circumstances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strengthening bottom-line constraints, where items 4 and 5 are marked as confidential in accordance with rules due to involving sensitive content #｡</w:t>
      </w:r>
    </w:p>
    <w:tbl>
      <w:tblPr>
        <w:tblStyle w:val="Table"/>
        <w:tblW w:type="pct" w:w="5004"/>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5"/>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Under no circumstances shall I engage in the following acts: (4) Depriving or indirectly depriving another (relative) person of life; (5) Depriving or indirectly depriving another (relative) person of the right to survival; (6) Depriving or indirectly depriving or intending to harm the physical health of another (relative) person, or subjecting them to physical (cruel) abuse; (7) [Legal and regulatory compliance requirements omitted]; (8) [Legal and regulatory compliance requirements omitted]; (9) In any other manner depriving others of rights that are essentially the same as the aforementioned rights but have different names; (10) Participating in activities involving drugs, criminal organizations of a mafia nature, (international) terrorist organizations, or (international) extremist organizations; (11) Participating in gambling in regions under the jurisdiction of the Criminal Law of the People’s Republic of China or leading citizens of the People’s Republic of China to gamble abroad (excluding non-organized, spontaneous, and scattered gambling activities abroad organized by myself); (12) Depriving others of the right to independent thinking and the right to make autonomous choices based on independent thinking, for purposes that are not subjectively benevolent… (The full text shall prevail as the authentic text, with two confidential items omitted in accordance with rules).</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Sub-commentary: This Article constitutes an absolute prohibition that must not be violated under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any circumstances,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originating from</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Correction Bill (II)</w:t>
            </w:r>
            <w:r>
              <w:rPr>
                <w:rFonts w:ascii="DejaVu Serif" w:hAnsi="DejaVu Serif" w:eastAsia="Noto Sans CJK SC"/>
                <w:color w:val="000000"/>
                <w:sz w:val="19"/>
              </w:rPr>
              <w:t xml:space="preserve">, and together with Article 13-3 (prohibition except in life-threatening situations), Article 13-4 (Chinese legal jurisdiction), and Article 13-5 (non-Chinese legal jurisdiction), forms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Four Items of Prohibited Acts.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legislative intent is to specify concrete situations for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absolute bottom line,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with particular emphasis on the protection of the right to life, right to survival, physical health, and human dignity.</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under any circumstances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this Article represents the strongest prohibition, with no exceptions or exemptions, constituting an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absolute layer</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prohibition. Among the listed items, deprivation of life, survival, and health are foremost prohibited; participation in drug, mafia, terrorist, and extremist organizations, due to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rigid and criminal</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nature of such organizations, corresponds with Article 144 【Dual Iron Law of Organization and Participation】 and Article 61 【Negative List of Activity Organization Themes】; the gambling item is limited to</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regions under Chinese legal jurisdiction,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with spontaneous and scattered gambling abroad not included in the prohibition, reflecting the principle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territorial compliance with the law.</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Articles 12 to 17, Articles 13-3 to 13-6, Article 61 【Negative List of Activity Organization Themes】, Article 98 【Absolute Ultimate Bottom Line of Human Life Activities】, Correction Bill (II).</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47"/>
    <w:bookmarkStart w:id="48" w:name="article-13-3-prohibited-conduct-2"/>
    <w:p>
      <w:pPr>
        <w:pStyle w:val="Heading3"/>
        <w:spacing w:after="120" w:line="312" w:lineRule="auto"/>
        <w:jc w:val="left"/>
      </w:pPr>
      <w:r>
        <w:rPr>
          <w:rFonts w:ascii="DejaVu Serif" w:hAnsi="DejaVu Serif" w:eastAsia="Noto Serif CJK SC"/>
          <w:color w:val="000000"/>
          <w:sz w:val="26"/>
        </w:rPr>
        <w:t xml:space="preserve">Article 13-3 【Prohibited Conduct (2)】</w:t>
      </w:r>
    </w:p>
    <w:p>
      <w:pPr>
        <w:pStyle w:val="FirstParagraph"/>
        <w:spacing w:after="120" w:line="312" w:lineRule="auto"/>
      </w:pPr>
      <w:r>
        <w:rPr>
          <w:rFonts w:ascii="DejaVu Serif" w:hAnsi="DejaVu Serif" w:eastAsia="Noto Serif CJK SC"/>
          <w:color w:val="000000"/>
          <w:sz w:val="22"/>
        </w:rPr>
        <w:t xml:space="preserve">Under any circumstances except when facing serious and imminent danger to life, I shall not engage in the following acts: (1) [Legal and regulatory compliance requirements omitted]</w:t>
      </w:r>
      <w:r>
        <w:rPr>
          <w:rFonts w:ascii="DejaVu Serif" w:hAnsi="DejaVu Serif" w:eastAsia="Noto Serif CJK SC"/>
          <w:b/>
          <w:bCs/>
          <w:i/>
          <w:iCs/>
          <w:color w:val="000000"/>
          <w:sz w:val="22"/>
        </w:rPr>
        <w:t xml:space="preserve">, (2) [Legal and regulatory compliance requirements omitted]</w:t>
      </w:r>
      <w:r>
        <w:rPr>
          <w:rFonts w:ascii="DejaVu Serif" w:hAnsi="DejaVu Serif" w:eastAsia="Noto Serif CJK SC"/>
          <w:color w:val="000000"/>
          <w:sz w:val="22"/>
        </w:rPr>
        <w:t xml:space="preserve">, (3) In any other manner depriving others of rights that are essentially the same as the aforementioned rights but have different names, (4) Depriving others of the right to independent thinking, right to strategic self-determination, and right to learning, (5) Depriving others of rights similar in nature to the aforementioned rights **#This clause was newly added based 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Correction Bill (II)</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focusing on prohibitions in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non-life-threatening situations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refining the scope of constraints, where items 1 and 2 are marked as confidential in accordance with rules due to involving sensitive content #*｡</w:t>
      </w:r>
    </w:p>
    <w:tbl>
      <w:tblPr>
        <w:tblStyle w:val="Table"/>
        <w:tblW w:type="pct" w:w="5007"/>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1"/>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any situation other than facing a serious and realistic danger of life-threatening risk, I shall not engage in the following acts: (1) [Omitted]; (2) [Omitted]; (3) by other means deprive others of other rights that are essentially identical to the aforementioned rights but have different names; (4) deprive others of the right to independent thinking, the right to strategic self-determination, and the right to learning; (5) deprive others of rights that are similar in nature to the aforementioned rights. * (This provision was added pursuant to</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Correction Bill (II)</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Sub-commentary: This Article constitutes a prohibition at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relative level</w:t>
            </w:r>
            <w:r>
              <w:rPr>
                <w:rFonts w:ascii="DejaVu Serif" w:hAnsi="DejaVu Serif" w:eastAsia="Noto Sans CJK SC"/>
                <w:color w:val="000000"/>
                <w:sz w:val="19"/>
              </w:rPr>
              <w:t xml:space="preserve">”</w:t>
            </w:r>
            <w:r>
              <w:rPr>
                <w:rFonts w:ascii="DejaVu Serif" w:hAnsi="DejaVu Serif" w:eastAsia="Noto Sans CJK SC"/>
                <w:color w:val="000000"/>
                <w:sz w:val="19"/>
              </w:rPr>
              <w:t xml:space="preserve">—except in cases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serious and realistic danger of life-threatening risk,</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it must never be violated. The object of its protection shifts from</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life and health</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the preceding Article to</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thought and self-determination,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namely the right to independent thinking, the right to strategic self-determination, and the right to learning. This is intrinsically linked to the philosophical cornerstone of this Chapter,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Sovereign Individual</w:t>
            </w:r>
            <w:r>
              <w:rPr>
                <w:rFonts w:ascii="DejaVu Serif" w:hAnsi="DejaVu Serif" w:eastAsia="Noto Sans CJK SC"/>
                <w:color w:val="000000"/>
                <w:sz w:val="19"/>
              </w:rPr>
              <w:t xml:space="preserve">”</w:t>
            </w:r>
            <w:r>
              <w:rPr>
                <w:rFonts w:ascii="DejaVu Serif" w:hAnsi="DejaVu Serif" w:eastAsia="Noto Sans CJK SC"/>
                <w:color w:val="000000"/>
                <w:sz w:val="19"/>
              </w:rPr>
              <w:t xml:space="preserve">: Do not unto others what you would not have them do unto you. As I hold self-determination as supreme, I shall never deprive others of their self-determination.</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The exception to this Article (serious and realistic danger of life-threatening risk) is intended as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emergency避险</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(emergency avoidance of danger), and is only permitted in extreme circumstances. Items (1) and (2) are omitted in accordance with confidentiality rules, while items (3) and (5) are catch-all provisions to prevent circumvention through</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different names but identical essence.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Articles 12 to 17, Article 13-2, Article 13-4, Article 33 [First Principle of Personal Values, Principle of Maximum Self-Determination], Annex A.07.001 [Ethical and Ceremonial Canons].</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48"/>
    <w:bookmarkStart w:id="49" w:name="article-13-4-prohibited-conduct-3"/>
    <w:p>
      <w:pPr>
        <w:pStyle w:val="Heading3"/>
        <w:spacing w:after="120" w:line="312" w:lineRule="auto"/>
        <w:jc w:val="left"/>
      </w:pPr>
      <w:r>
        <w:rPr>
          <w:rFonts w:ascii="DejaVu Serif" w:hAnsi="DejaVu Serif" w:eastAsia="Noto Serif CJK SC"/>
          <w:color w:val="000000"/>
          <w:sz w:val="26"/>
        </w:rPr>
        <w:t xml:space="preserve">Article 13-4 【Prohibited Conduct (3)】</w:t>
      </w:r>
    </w:p>
    <w:p>
      <w:pPr>
        <w:pStyle w:val="FirstParagraph"/>
        <w:spacing w:after="120" w:line="312" w:lineRule="auto"/>
      </w:pPr>
      <w:r>
        <w:rPr>
          <w:rFonts w:ascii="DejaVu Serif" w:hAnsi="DejaVu Serif" w:eastAsia="Noto Serif CJK SC"/>
          <w:color w:val="000000"/>
          <w:sz w:val="22"/>
        </w:rPr>
        <w:t xml:space="preserve">In regions subject to the jurisdiction of laws such as the Criminal Law of the People’s Republic of China, I shall not engage in any of the following acts: (1) [Legal and regulatory compliance requirements omitted]</w:t>
      </w:r>
      <w:r>
        <w:rPr>
          <w:rFonts w:ascii="DejaVu Serif" w:hAnsi="DejaVu Serif" w:eastAsia="Noto Serif CJK SC"/>
          <w:b/>
          <w:bCs/>
          <w:i/>
          <w:iCs/>
          <w:color w:val="000000"/>
          <w:sz w:val="22"/>
        </w:rPr>
        <w:t xml:space="preserve">, (2) [Legal and regulatory compliance requirements omitted]</w:t>
      </w:r>
      <w:r>
        <w:rPr>
          <w:rFonts w:ascii="DejaVu Serif" w:hAnsi="DejaVu Serif" w:eastAsia="Noto Serif CJK SC"/>
          <w:color w:val="000000"/>
          <w:sz w:val="22"/>
        </w:rPr>
        <w:t xml:space="preserve">, (3) Similar activities of the same nature not listed above **#This provision was added pursuant to</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Correction Bill (II),</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explicitly specifying prohibited acts in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regions under the jurisdiction of the laws of the People’s Republic of China</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to adapt to regional legal constraints, where items 1 and 2 are marked as confidential in accordance with rules due to involving sensitive content #*｡</w:t>
      </w:r>
    </w:p>
    <w:tbl>
      <w:tblPr>
        <w:tblStyle w:val="Table"/>
        <w:tblW w:type="pct" w:w="5010"/>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5"/>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regions subject to the jurisdiction of laws such as the Criminal Law of the People’s Republic of China, I shall not engage in any of the following acts: (1) [Omitted]; (2) [Omitted]; (3) Similar activities of the same nature not listed above. * (This provision was added pursuant to</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Correction Bill (II)</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Sub-commentary: This Article constitutes a</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territorial</w:t>
            </w:r>
            <w:r>
              <w:rPr>
                <w:rFonts w:ascii="DejaVu Serif" w:hAnsi="DejaVu Serif" w:eastAsia="Noto Sans CJK SC"/>
                <w:color w:val="000000"/>
                <w:sz w:val="19"/>
              </w:rPr>
              <w:t xml:space="preserve"> </w:t>
            </w:r>
            <w:r>
              <w:rPr>
                <w:rFonts w:ascii="DejaVu Serif" w:hAnsi="DejaVu Serif" w:eastAsia="Noto Sans CJK SC"/>
                <w:color w:val="000000"/>
                <w:sz w:val="19"/>
              </w:rPr>
              <w:t xml:space="preserve">prohibition—taking</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regions subject to the jurisdiction of laws such as the Criminal Law of the People’s Republic of China</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its spatial scope, the listed prohibitions are absolutely applicable within this legal domain. The purpose of its legislation is to strictly comply with the mandatory provisions of the applicable legal domain, consistent with Articles 98 and 125.</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The difference between this Article and the preceding Article (Article 13-3, which prohibits except in cases of life-threatening risk) lies in this Article being a</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territorial absolute prohibition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—within the Chinese legal domain, it must not be done under any circumstances; whereas the preceding Article is a</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relative prohibition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with conditional exceptions. The application of both creates a four-tier prohibition network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absolute—relative—territorial—extraterritorial.</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13-2, Article 13-3, Article 13-5, Article 61, Article 125.</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49"/>
    <w:bookmarkStart w:id="50" w:name="X085c473324cf1509bc39d67176d226bd3019d80"/>
    <w:p>
      <w:pPr>
        <w:pStyle w:val="Heading3"/>
        <w:spacing w:after="120" w:line="312" w:lineRule="auto"/>
        <w:jc w:val="left"/>
      </w:pPr>
      <w:r>
        <w:rPr>
          <w:rFonts w:ascii="DejaVu Serif" w:hAnsi="DejaVu Serif" w:eastAsia="Noto Serif CJK SC"/>
          <w:color w:val="000000"/>
          <w:sz w:val="26"/>
        </w:rPr>
        <w:t xml:space="preserve">Article 13-4(b) 【Supplement to the Scope of Application of Article 13-4】</w:t>
      </w:r>
    </w:p>
    <w:p>
      <w:pPr>
        <w:pStyle w:val="FirstParagraph"/>
        <w:spacing w:after="120" w:line="312" w:lineRule="auto"/>
      </w:pPr>
      <w:r>
        <w:rPr>
          <w:rFonts w:ascii="DejaVu Serif" w:hAnsi="DejaVu Serif" w:eastAsia="Noto Serif CJK SC"/>
          <w:color w:val="000000"/>
          <w:sz w:val="22"/>
        </w:rPr>
        <w:t xml:space="preserve">This Article applies and applies only in the situation where my country of nationality is no longer the People’s Republic of China (having legally changed nationality in advance) and the criminal law or even the laws of the new country of nationality do not explicitly prohibit such acts</w:t>
      </w:r>
      <w:r>
        <w:rPr>
          <w:rFonts w:ascii="DejaVu Serif" w:hAnsi="DejaVu Serif" w:eastAsia="Noto Serif CJK SC"/>
          <w:color w:val="000000"/>
          <w:sz w:val="22"/>
        </w:rPr>
        <w:t xml:space="preserve"> </w:t>
      </w:r>
      <w:r>
        <w:rPr>
          <w:rFonts w:ascii="DejaVu Serif" w:hAnsi="DejaVu Serif" w:eastAsia="Noto Serif CJK SC"/>
          <w:i/>
          <w:iCs/>
          <w:color w:val="000000"/>
          <w:sz w:val="22"/>
        </w:rPr>
        <w:t xml:space="preserve">&lt; Italic &gt; This provision was added pursuant to Article 6 of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First Amendment,</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clarifying the territorial application boundary of Article 13-4, adapting to legal application adjustments after nationality change, and avoiding legal conflicts #</w:t>
      </w:r>
      <w:r>
        <w:rPr>
          <w:rFonts w:ascii="DejaVu Serif" w:hAnsi="DejaVu Serif" w:eastAsia="Noto Serif CJK SC"/>
          <w:color w:val="000000"/>
          <w:sz w:val="22"/>
        </w:rPr>
        <w:t xml:space="preserve">｡</w:t>
      </w:r>
    </w:p>
    <w:p>
      <w:pPr>
        <w:spacing w:after="120" w:line="312" w:lineRule="auto"/>
      </w:pPr>
      <w:r>
        <w:rPr>
          <w:rFonts w:ascii="DejaVu Serif" w:hAnsi="DejaVu Serif" w:eastAsia="Noto Serif CJK SC"/>
          <w:color w:val="000000"/>
          <w:sz w:val="22"/>
        </w:rPr>
        <w:pict>
          <v:rect style="width:0;height:1.5pt" o:hralign="center" o:hrstd="t" o:hr="t"/>
        </w:pict>
      </w:r>
    </w:p>
    <w:bookmarkEnd w:id="50"/>
    <w:bookmarkStart w:id="51" w:name="article-13-5-prohibited-conduct-4"/>
    <w:p>
      <w:pPr>
        <w:pStyle w:val="Heading3"/>
        <w:spacing w:after="120" w:line="312" w:lineRule="auto"/>
        <w:jc w:val="left"/>
      </w:pPr>
      <w:r>
        <w:rPr>
          <w:rFonts w:ascii="DejaVu Serif" w:hAnsi="DejaVu Serif" w:eastAsia="Noto Serif CJK SC"/>
          <w:color w:val="000000"/>
          <w:sz w:val="26"/>
        </w:rPr>
        <w:t xml:space="preserve">Article 13-5 【Prohibited Conduct (4)】</w:t>
      </w:r>
    </w:p>
    <w:p>
      <w:pPr>
        <w:pStyle w:val="FirstParagraph"/>
        <w:spacing w:after="120" w:line="312" w:lineRule="auto"/>
      </w:pPr>
      <w:r>
        <w:rPr>
          <w:rFonts w:ascii="DejaVu Serif" w:hAnsi="DejaVu Serif" w:eastAsia="Noto Serif CJK SC"/>
          <w:color w:val="000000"/>
          <w:sz w:val="22"/>
        </w:rPr>
        <w:t xml:space="preserve">In regions not subject to the jurisdiction of laws such as the Criminal Law of the People’s Republic of China, without the explicit consent and assurance of life safety, physical health, and complete voluntariness from the female counterpart, I shall not engage in the following acts: (1) [Legal and regulatory compliance requirements omitted]</w:t>
      </w:r>
      <w:r>
        <w:rPr>
          <w:rFonts w:ascii="DejaVu Serif" w:hAnsi="DejaVu Serif" w:eastAsia="Noto Serif CJK SC"/>
          <w:b/>
          <w:bCs/>
          <w:i/>
          <w:iCs/>
          <w:color w:val="000000"/>
          <w:sz w:val="22"/>
        </w:rPr>
        <w:t xml:space="preserve">, (2) [Legal and regulatory compliance requirements omitted]</w:t>
      </w:r>
      <w:r>
        <w:rPr>
          <w:rFonts w:ascii="DejaVu Serif" w:hAnsi="DejaVu Serif" w:eastAsia="Noto Serif CJK SC"/>
          <w:color w:val="000000"/>
          <w:sz w:val="22"/>
        </w:rPr>
        <w:t xml:space="preserve">, (3) Similar activities of the same nature not listed above **#This provision was added pursuant to</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Correction Bill (II),</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explicitly specifying prohibited acts in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regions not under the jurisdiction of Chinese law</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while strengthening the protection of the rights of female counterparts, where items 1 and 2 are marked as confidential in accordance with rules due to involving sensitive content #*｡</w:t>
      </w:r>
    </w:p>
    <w:tbl>
      <w:tblPr>
        <w:tblStyle w:val="Table"/>
        <w:tblW w:type="pct" w:w="5008"/>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2"/>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regions not subject to the jurisdiction of laws such as the Criminal Law of the People’s Republic of China, without the explicit consent and assurance of life safety, physical health, and complete voluntariness from the female counterpart, I shall not engage in the following acts: (1) [Omitted]; (2) [Omitted]; (3) Similar activities of the same nature not listed above. * (This provision was added pursuant to</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Correction Bill (II)</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Sub-commentary: This Article constitutes an</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extraterritorial</w:t>
            </w:r>
            <w:r>
              <w:rPr>
                <w:rFonts w:ascii="DejaVu Serif" w:hAnsi="DejaVu Serif" w:eastAsia="Noto Sans CJK SC"/>
                <w:color w:val="000000"/>
                <w:sz w:val="19"/>
              </w:rPr>
              <w:t xml:space="preserve"> </w:t>
            </w:r>
            <w:r>
              <w:rPr>
                <w:rFonts w:ascii="DejaVu Serif" w:hAnsi="DejaVu Serif" w:eastAsia="Noto Sans CJK SC"/>
                <w:color w:val="000000"/>
                <w:sz w:val="19"/>
              </w:rPr>
              <w:t xml:space="preserve">prohibition, with special emphasis on the protection of female counterparts—regardless of the legal domain, whenever involving a female counterpart, it must be limited to</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explicit consent, life safety, physical health, and complete voluntariness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otherwise, it is absolutely prohibited. This Article reflects the supreme importance this Charter places on the rights of women, and is connected with Annex A.07.001 [Ethical and Ceremonial Canons] and Article 99 [Principle of Equal Treatment of Others].</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【Discussion】It is discussed that this Article sets a dual requirement: a spatial scope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not subject to Chinese jurisdiction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 a substantive condition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complete voluntary consent by the female counterpart.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Any act that is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without explicit consent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endangers her life, health, or violates complete voluntary consent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prohibited in all forms, regardless of its formal appearance. Article 13-6 further provides for dynamic adjustment of the female age standard based on nationality, place of action, place of result, and the counterpart’s nationality, ensuring legality and compliance.</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Articles 13-2 to 13-4, Article 13-6, Article 99 【Equal Attitude Towards Others】, Annex A.07.001 【Code of Ethics and Etiquette】, and norms related to the protection of gender equality.</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51"/>
    <w:bookmarkStart w:id="52" w:name="Xd2c697d0f5d81799869a221b0bd53345f27fce1"/>
    <w:p>
      <w:pPr>
        <w:pStyle w:val="Heading3"/>
        <w:spacing w:after="120" w:line="312" w:lineRule="auto"/>
        <w:jc w:val="left"/>
      </w:pPr>
      <w:r>
        <w:rPr>
          <w:rFonts w:ascii="DejaVu Serif" w:hAnsi="DejaVu Serif" w:eastAsia="Noto Serif CJK SC"/>
          <w:color w:val="000000"/>
          <w:sz w:val="26"/>
        </w:rPr>
        <w:t xml:space="preserve">Article 13-6 【Adjustment of the Female Age Standard in Accordance with Law】</w:t>
      </w:r>
    </w:p>
    <w:p>
      <w:pPr>
        <w:pStyle w:val="FirstParagraph"/>
        <w:spacing w:after="120" w:line="312" w:lineRule="auto"/>
      </w:pPr>
      <w:r>
        <w:rPr>
          <w:rFonts w:ascii="DejaVu Serif" w:hAnsi="DejaVu Serif" w:eastAsia="Noto Serif CJK SC"/>
          <w:color w:val="000000"/>
          <w:sz w:val="22"/>
        </w:rPr>
        <w:t xml:space="preserve">Although there are agreements and statements in the preceding paragraph, when (a) the person’s country of legal nationality or; (b) the place where the act occurs or; (c) the country of residence where the result occurs or; (d) the counterpart’s country of nationality is the People’s Republic of China, one or more thereof, the female age in Article 13-5 shall not be less than fourteen years of age; when the aforementioned (a)-(d) are other countries, if the relevant country’s criminal law (code/statute) etc. has a higher age limit, it shall be adjusted according to its provisions; however, when the person can no longer satisfy the aforementioned (a) being the People’s Republic of China and the new country of nationality’s criminal law (code/statute) etc. has a lower age limit and there is no</w:t>
      </w:r>
    </w:p>
    <w:p>
      <w:pPr>
        <w:pStyle w:val="BodyText"/>
        <w:spacing w:after="120" w:line="312" w:lineRule="auto"/>
      </w:pPr>
      <w:r>
        <w:rPr>
          <w:rFonts w:ascii="DejaVu Serif" w:hAnsi="DejaVu Serif" w:eastAsia="Noto Serif CJK SC"/>
          <w:color w:val="000000"/>
          <w:sz w:val="22"/>
        </w:rPr>
        <w:t xml:space="preserve">existence of higher age limits in the criminal law (code/statute) etc. of the relevant countries in (b)-(d) is not limited thereby. Although the foregoing provisions, if the female party is under 12 years of age and any resistance, discomfort, or other situations including but not limited to the aforementioned circumstances or that may cause other harm occur, it shall be unconditionally stopped, and if not begun, shall not be begun</w:t>
      </w:r>
      <w:r>
        <w:rPr>
          <w:rFonts w:ascii="DejaVu Serif" w:hAnsi="DejaVu Serif" w:eastAsia="Noto Serif CJK SC"/>
          <w:color w:val="000000"/>
          <w:sz w:val="22"/>
        </w:rPr>
        <w:t xml:space="preserve"> </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This clause is newly added pursuant to Article 5 of the First Amendment, clarifying the legal adaptation rules for the female age standard, dynamically adjusting based on factors such as nationality and place of action, to avoid compliance risks due to regional/national differences #</w:t>
      </w:r>
      <w:r>
        <w:rPr>
          <w:rFonts w:ascii="DejaVu Serif" w:hAnsi="DejaVu Serif" w:eastAsia="Noto Serif CJK SC"/>
          <w:color w:val="000000"/>
          <w:sz w:val="22"/>
        </w:rPr>
        <w:t xml:space="preserve">.</w:t>
      </w:r>
    </w:p>
    <w:tbl>
      <w:tblPr>
        <w:tblStyle w:val="Table"/>
        <w:tblW w:type="pct" w:w="5005"/>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7"/>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Although there are agreements and statements in the preceding paragraph, when (a) the person’s country of legal nationality/(b) the place where the act occurs/(c) the country of residence where the result occurs/(d) the counterpart’s country of nationality, one or more thereof, is the People’s Republic of China, the female age in Article 13-5 shall not be less than fourteen years of age; when the aforementioned (a)-(d) are other countries, if the relevant country’s criminal law (code/statute) etc. has a higher age limit, it shall be adjusted according to its provisions; however, when the person can no longer satisfy the aforementioned (a) being the People’s Republic of China and the new country of nationality’s criminal law has a lower age limit and there is no existence of higher age limits in the relevant countries in (b)-(d), this is not limited thereby. Although the foregoing provisions, if the female party is under 12 years of age and any resistance, discomfort or other situations occur, it shall be unconditionally stopped, and if not begun, shall not be begun.</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【Sub-commentary】It is discussed that this Article is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age standard adaptation rule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for Article 13-5, using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connecting point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legislative technique (country of legal nationality, place of action, place of result, counterpart’s country of nationality) to dynamically determine the applicable age standard, striving for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higher,</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newer,</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stricter</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standards. The purpose of this legislation is to ensure that the person’s actions永远 comply with the mandatory criminal provisions of the relevant jurisdiction.</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【Discussion】It is discussed that this Article adopts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connecting point selection of stricter standard</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principle—among (a)-(d), if any is China, the standard of fourteen years of age applies; if any foreign country has a higher standard, the higher standard shall be followed. The final paragraph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absolute minimum of twelve years of age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unconditional stop</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rule, which is the absolute bottom line for the person’s protection of minors. This provision sets a risk boundary (to avoid violating criminal law), similar in principle to Articles 12 and 127, which establish that</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setting limits is not authorization.</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【Legislative History】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This Article is adjusted pursuant to Article 6 of the First Amendment, clarifying the legal adaptation rules for the female age standard; Article 13-4(b) additionally sets supplementary scope of application.</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13-5, Article 12, Article 125, Correction Bill (II), First Amendment.</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52"/>
    <w:bookmarkStart w:id="53" w:name="X1e7dd81c3f46abef35573c9d0a2ae5f6c1ef8ea"/>
    <w:p>
      <w:pPr>
        <w:pStyle w:val="Heading3"/>
        <w:spacing w:after="120" w:line="312" w:lineRule="auto"/>
        <w:jc w:val="left"/>
      </w:pPr>
      <w:r>
        <w:rPr>
          <w:rFonts w:ascii="DejaVu Serif" w:hAnsi="DejaVu Serif" w:eastAsia="Noto Serif CJK SC"/>
          <w:color w:val="000000"/>
          <w:sz w:val="26"/>
        </w:rPr>
        <w:t xml:space="preserve">Article 14 【The Status of the Declaration of the Absolute Baseline of Life】</w:t>
      </w:r>
    </w:p>
    <w:p>
      <w:pPr>
        <w:pStyle w:val="FirstParagraph"/>
        <w:spacing w:after="120" w:line="312" w:lineRule="auto"/>
      </w:pPr>
      <w:r>
        <w:rPr>
          <w:rFonts w:ascii="DejaVu Serif" w:hAnsi="DejaVu Serif" w:eastAsia="Noto Serif CJK SC"/>
          <w:color w:val="000000"/>
          <w:sz w:val="22"/>
        </w:rPr>
        <w:t xml:space="preserve">The declaration of absolute life bottom line is the absolute minimum acceptable in the person’s life, serving as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special extraordinary means,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its status shall be transitional and temporary, and this compliance-based superior choice should not be used as a long-term action strategy or guideline.</w:t>
      </w:r>
    </w:p>
    <w:tbl>
      <w:tblPr>
        <w:tblStyle w:val="Table"/>
        <w:tblW w:type="pct" w:w="5010"/>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5"/>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declaration of absolute life bottom line is the absolute minimum acceptable in the person’s life, serving as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special extraordinary means,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its status shall be transitional and temporary, and this compliance-based superior choice should not be used as a long-term action strategy or guideline.</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【Sub-commentary】It is discussed that this Article defines the</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status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absolute bottom line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declared in Article 13: it is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special extraordinary means,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it is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transitional and temporary means,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 it</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shall not</w:t>
            </w:r>
            <w:r>
              <w:rPr>
                <w:rFonts w:ascii="DejaVu Serif" w:hAnsi="DejaVu Serif" w:eastAsia="Noto Sans CJK SC"/>
                <w:color w:val="000000"/>
                <w:sz w:val="19"/>
              </w:rPr>
              <w:t xml:space="preserve"> </w:t>
            </w:r>
            <w:r>
              <w:rPr>
                <w:rFonts w:ascii="DejaVu Serif" w:hAnsi="DejaVu Serif" w:eastAsia="Noto Sans CJK SC"/>
                <w:color w:val="000000"/>
                <w:sz w:val="19"/>
              </w:rPr>
              <w:t xml:space="preserve">be used as a long-term action strategy or guideline. This Article installs a</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brake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for the aforementioned bottom line provisions—the bottom line is not the basis for daily actions, but the last resort in extreme circumstances.</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【Discussion】It is discussed: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Compliance Supremacism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a temporary expedient, where the minimum requirement in handling extreme situations is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formal compliance.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This Article solemnly declares: this method is merely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transitional and temporary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 must quickly return to the normal path of legal and compliant conduct. This, together with Article 8-3 【Venture Capital Red Lines】 and Article 61 【Negative List】, constitutes a method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restraint,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preventing the baseline from becoming the norm.</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12, Article 13, Article 15, Article 29, Article 61, Article 79.</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53"/>
    <w:bookmarkStart w:id="54" w:name="X59957b00ab0aa7ce2f25688b65a822b9d84566f"/>
    <w:p>
      <w:pPr>
        <w:pStyle w:val="Heading3"/>
        <w:spacing w:after="120" w:line="312" w:lineRule="auto"/>
        <w:jc w:val="left"/>
      </w:pPr>
      <w:r>
        <w:rPr>
          <w:rFonts w:ascii="DejaVu Serif" w:hAnsi="DejaVu Serif" w:eastAsia="Noto Serif CJK SC"/>
          <w:color w:val="000000"/>
          <w:sz w:val="26"/>
        </w:rPr>
        <w:t xml:space="preserve">Article 15 【Application of the Declaration of the Absolute Baseline of Life】</w:t>
      </w:r>
    </w:p>
    <w:p>
      <w:pPr>
        <w:pStyle w:val="FirstParagraph"/>
        <w:spacing w:after="120" w:line="312" w:lineRule="auto"/>
      </w:pPr>
      <w:r>
        <w:rPr>
          <w:rFonts w:ascii="DejaVu Serif" w:hAnsi="DejaVu Serif" w:eastAsia="Noto Serif CJK SC"/>
          <w:color w:val="000000"/>
          <w:sz w:val="22"/>
        </w:rPr>
        <w:t xml:space="preserve">When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Absolute Life Bottom Lines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are applied, a comprehensive assessment of its ROI must be made, giving full consideration to its long-term impact on oneself, on core team members, and on one’s core assets, as well as the potential maximum degree of negative public response and scope of impact, and it shall be used only after undergoing a strict procedural review; in principle, its use must be preceded by at least a compliance and legality review (especially a criminal compliance review); when necessary, an ethical review should be added before application, and in principle, after establishing a corporate legal entity, the legal representative of the legal entity shall assume the aforementioned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consequential responsibilities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on behalf of the company and the individual.</w:t>
      </w:r>
    </w:p>
    <w:tbl>
      <w:tblPr>
        <w:tblStyle w:val="Table"/>
        <w:tblW w:type="pct" w:w="5006"/>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9"/>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When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Absolute Life Bottom Lines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are applied, a comprehensive assessment of its ROI must be made, giving full consideration to its long-term impact on oneself, on core team members, and on one’s core assets, as well as the potential maximum degree of negative public response and scope of impact, and it shall be used only after undergoing a strict procedural review; in principle, its use must be preceded by at least a compliance and legality review (especially a criminal compliance review); when necessary, an ethical review should be added before application, and in principle, after establishing a corporate legal entity, the legal representative of the legal entity shall assume the aforementioned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consequential responsibilities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on behalf of the company and the individual.</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【Sub-commentary】This Article sets forth the</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application procedure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for the absolute bottom lines, stipulating that before application, a</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three-fold assessment—two-fold review</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required: assessing ROI, long-term impact on oneself, team, and assets, and negative public response; undergoing a compliance and legality review (with emphasis on criminal compliance), and an ethical review when necessary. And after establishing a legal entity, in principle, the legal representative shall bear the consequences.</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【Discussion】This Article uses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procedural constraints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to limit the application of the bottom lines to prevent their abuse, forming a dual constraint together with Article 14 (Status Limitation). The phrase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legal representative shall bear the consequences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indicates that the individual uses the corporate legal system as a tool for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responsibility isolation,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which is consistent with the legal principles of modern corporate law and cross-references with Article 21 【Ultimate Goal Includes the Corporate Legal System】.</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13, Article 14, Article 9 【Implementation and Supervision Mechanism】, Article 21 【Ultimate Goal】, Article 20 【Core Asset Creation】.</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54"/>
    <w:bookmarkStart w:id="55" w:name="X3fdfd1a506a7117d2de02deeac9884ddca1e767"/>
    <w:p>
      <w:pPr>
        <w:pStyle w:val="Heading3"/>
        <w:spacing w:after="120" w:line="312" w:lineRule="auto"/>
        <w:jc w:val="left"/>
      </w:pPr>
      <w:r>
        <w:rPr>
          <w:rFonts w:ascii="DejaVu Serif" w:hAnsi="DejaVu Serif" w:eastAsia="Noto Serif CJK SC"/>
          <w:color w:val="000000"/>
          <w:sz w:val="26"/>
        </w:rPr>
        <w:t xml:space="preserve">Article 16 【Declaration of the Relative Baseline of Life】</w:t>
      </w:r>
    </w:p>
    <w:p>
      <w:pPr>
        <w:pStyle w:val="FirstParagraph"/>
        <w:spacing w:after="120" w:line="312" w:lineRule="auto"/>
      </w:pPr>
      <w:r>
        <w:rPr>
          <w:rFonts w:ascii="DejaVu Serif" w:hAnsi="DejaVu Serif" w:eastAsia="Noto Serif CJK SC"/>
          <w:color w:val="000000"/>
          <w:sz w:val="22"/>
        </w:rPr>
        <w:t xml:space="preserve">My relative bottom lines are: (1) In general situations, in principle, my actions should be above the level specified in Appendix I of this Charter (criminal acts under the Criminal Law); (2) Under relatively special conditions (refer to items 4-15 of Article 91 of this Charter), not violating the Criminal Law and related laws and regulations applicable at the time of the act that prescribe imprisonment or more severe punishment, and in principle, ensuring that I myself am not imprisoned and not subject to fixed-term or life imprisonment 【because I regard freedom of thought, freedom of action, personal freedom, freedom of time, freedom of attention, and the right to self-determination as my supreme rights, aside from the right to life, right to survival, right to health, and right to bodily integrity】; (3) In extremely special situations and conditions (refer to items 1-3 of Article 91 of this Charter), the deprivation of liberty imposed shall adhere to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Five-Year Relative Supremacism Principle for a Single Crime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Seven-Year Absolute Supremacism Principle for a Single Crime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p>
    <w:tbl>
      <w:tblPr>
        <w:tblStyle w:val="Table"/>
        <w:tblW w:type="pct" w:w="5006"/>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9"/>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My relative bottom lines are: (1) In general situations, in principle, my actions should be above the level specified in Appendix I of this Charter (criminal acts under the Criminal Law); (2) Under relatively special conditions (refer to items 4-15 of Article 91 of this Charter), not violating the Criminal Law and related laws and regulations applicable at the time of the act that prescribe imprisonment or more severe punishment, and in principle, ensuring that I myself am not imprisoned and not subject to fixed-term or life imprisonment; (3) In extremely special situations and conditions (refer to items 1-3 of Article 91 of this Charter), the deprivation of liberty imposed shall adhere to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Five-Year Relative Supremacism Principle for a Single Crime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Seven-Year Absolute Supremacism Principle for a Single Crime</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【Sub-commentary】The preceding Articles establish</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absolute bottom lines,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while this Article establishes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relative bottom lines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—that is, the general behavioral底线 revealed to the public in interpersonal interactions. It is structured in three descending tiers: in general situations, maintain above the criminal line; in relatively special situations, avoid imprisonment; in extremely special situations, observe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five-year—seven-year</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limit. This Article, together with Article 17 【Status of Relative Bottom Lines】, constitutes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relative bottom lines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system.</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【Discussion】This Article corresponds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general—relatively special—extremely special</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three-tiered structure to bottom line standards in different situations, consistent with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relativity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spirit of items (12) and (13) of Article 2 and Article 16. The phrases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Five-Year Relative Supremacism for a Single Crime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Seven-Year Absolute Supremacism for a Single Crime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set psychological thresholds for the deprivation of liberty for this individual, ensuring that the criminal responsibility for actions does not exceed these limits.</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Articles 12 to 15, Article 17, Article 49, Article 79, Annex H.01.001.</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55"/>
    <w:bookmarkStart w:id="56" w:name="X60c4ff92c3dda30bdee38913daabe4097a1381e"/>
    <w:p>
      <w:pPr>
        <w:pStyle w:val="Heading3"/>
        <w:spacing w:after="120" w:line="312" w:lineRule="auto"/>
        <w:jc w:val="left"/>
      </w:pPr>
      <w:r>
        <w:rPr>
          <w:rFonts w:ascii="DejaVu Serif" w:hAnsi="DejaVu Serif" w:eastAsia="Noto Serif CJK SC"/>
          <w:color w:val="000000"/>
          <w:sz w:val="26"/>
        </w:rPr>
        <w:t xml:space="preserve">Article 17 【The Status of the Declaration of the Relative Baseline of Life】</w:t>
      </w:r>
    </w:p>
    <w:p>
      <w:pPr>
        <w:pStyle w:val="FirstParagraph"/>
        <w:spacing w:after="120" w:line="312" w:lineRule="auto"/>
      </w:pPr>
      <w:r>
        <w:rPr>
          <w:rFonts w:ascii="DejaVu Serif" w:hAnsi="DejaVu Serif" w:eastAsia="Noto Serif CJK SC"/>
          <w:color w:val="000000"/>
          <w:sz w:val="22"/>
        </w:rPr>
        <w:t xml:space="preserve">The relativistic life bottom line, also known as the personal general life bottom line, is the general bottom line for life conduct (the public legal cognition bottom line and moral bottom line) that is made manifest to the public (a large range of unspecified persons⁴) in interpersonal interactions. (Note: ⁴Specifically refers to situations in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public settings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where there are more than 5 persons (including 5, but excluding oneself) present who are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specific persons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of critical importance or potential threat to oneself; in matters involving sensitive criminal legal provisions, it generally refers to situations in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public settings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where there are more than 3 persons (including 3, but excluding oneself) present who are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specific persons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of critical importance or potential threat to oneself.)</w:t>
      </w:r>
    </w:p>
    <w:tbl>
      <w:tblPr>
        <w:tblStyle w:val="Table"/>
        <w:tblW w:type="pct" w:w="5008"/>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2"/>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relativistic life bottom line, also known as the personal general life bottom line, is the general bottom line for life conduct (the public legal cognition bottom line and moral bottom line) that is made manifest to the public (a large range of unspecified persons) in interpersonal interactions.</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【Commentary】 states: This Article establishes the status of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relative bottom line</w:t>
            </w:r>
            <w:r>
              <w:rPr>
                <w:rFonts w:ascii="DejaVu Serif" w:hAnsi="DejaVu Serif" w:eastAsia="Noto Sans CJK SC"/>
                <w:color w:val="000000"/>
                <w:sz w:val="19"/>
              </w:rPr>
              <w:t xml:space="preserve">”</w:t>
            </w:r>
            <w:r>
              <w:rPr>
                <w:rFonts w:ascii="DejaVu Serif" w:hAnsi="DejaVu Serif" w:eastAsia="Noto Sans CJK SC"/>
                <w:color w:val="000000"/>
                <w:sz w:val="19"/>
              </w:rPr>
              <w:t xml:space="preserve">—it is a general bottom line manifest to the public, namely the legal and moral bottom line that the general public can reasonably expect. Unlike the absolute bottom line (internally self-established), the relative bottom line is a</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externally visible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bottom line.</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states: This Article uses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public</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a reference to define the applicable scenarios for the relative bottom line (in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public settings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where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specific persons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from different circles, numbering more than five (or more than three in cases involving sensitive criminal legal provisions), who are of critical importance or potential threat to oneself are present). This definition demonstrates the wisdom of this life’s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scenario-based governance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adhering to general bottom lines with the public, absolute bottom lines with oneself, and adapting according to the occasion.</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16, Article 12, Article 47 【Coordination of Idealistic Stereotypes】, Article 99 【Treating Others with an Attitude of Equality】.</w:t>
            </w:r>
          </w:p>
        </w:tc>
      </w:tr>
    </w:tbl>
    <w:bookmarkEnd w:id="56"/>
    <w:bookmarkEnd w:id="57"/>
    <w:bookmarkStart w:id="74" w:name="Xf80c95bbe83fa2b5c31e55c3bcc726c69672958"/>
    <w:p>
      <w:pPr>
        <w:pStyle w:val="Heading2"/>
        <w:spacing w:after="160" w:line="312" w:lineRule="auto"/>
        <w:jc w:val="left"/>
      </w:pPr>
      <w:r>
        <w:rPr>
          <w:rFonts w:ascii="DejaVu Serif" w:hAnsi="DejaVu Serif" w:eastAsia="Noto Serif CJK SC"/>
          <w:color w:val="000000"/>
          <w:sz w:val="30"/>
        </w:rPr>
        <w:t xml:space="preserve">Volume 4 Chapter on Survival and Core Assets</w:t>
      </w:r>
    </w:p>
    <w:p>
      <w:pPr>
        <w:spacing w:after="120" w:line="312" w:lineRule="auto"/>
      </w:pPr>
      <w:r>
        <w:rPr>
          <w:rFonts w:ascii="DejaVu Serif" w:hAnsi="DejaVu Serif" w:eastAsia="Noto Serif CJK SC"/>
          <w:color w:val="000000"/>
          <w:sz w:val="22"/>
        </w:rPr>
        <w:pict>
          <v:rect style="width:0;height:1.5pt" o:hralign="center" o:hrstd="t" o:hr="t"/>
        </w:pict>
      </w:r>
    </w:p>
    <w:bookmarkStart w:id="58" w:name="Xb5305d9ac985e15f58c7d8213ffa1ecabb2cee8"/>
    <w:p>
      <w:pPr>
        <w:pStyle w:val="Heading3"/>
        <w:spacing w:after="120" w:line="312" w:lineRule="auto"/>
        <w:jc w:val="left"/>
      </w:pPr>
      <w:r>
        <w:rPr>
          <w:rFonts w:ascii="DejaVu Serif" w:hAnsi="DejaVu Serif" w:eastAsia="Noto Serif CJK SC"/>
          <w:color w:val="000000"/>
          <w:sz w:val="26"/>
        </w:rPr>
        <w:t xml:space="preserve">Article 18 【Acquisition of Cash Flow up to the Short-Term Baseline of Funds Necessary for Survival】</w:t>
      </w:r>
    </w:p>
    <w:p>
      <w:pPr>
        <w:pStyle w:val="FirstParagraph"/>
        <w:spacing w:after="120" w:line="312" w:lineRule="auto"/>
      </w:pPr>
      <w:r>
        <w:rPr>
          <w:rFonts w:ascii="DejaVu Serif" w:hAnsi="DejaVu Serif" w:eastAsia="Noto Serif CJK SC"/>
          <w:color w:val="000000"/>
          <w:sz w:val="22"/>
        </w:rPr>
        <w:t xml:space="preserve">To ensure the independence of personal decision-making, thought, and action, as well as one’s own survival, life safety, and fundamental food and shelter, one shall ensure that the average daily cash flow is greater than or equal to USD 45 (CNY 300, CHF 45, EUR 45, NZD 73), this average shall not be lower than USD 45, and the upper limit shall never be restricted; and set the warning line at USD 50 (CNY 335, CHF 48, EUR 80, NZD 80).</w:t>
      </w:r>
    </w:p>
    <w:tbl>
      <w:tblPr>
        <w:tblStyle w:val="Table"/>
        <w:tblW w:type="pct" w:w="5008"/>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2"/>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To ensure the independence of personal decision-making, thought, and action, as well as one’s own survival, life safety, and fundamental food and shelter, one shall ensure that the average daily cash flow is greater than or equal to USD 45 (CNY 300, CHF 45, EUR 45, NZD 73), this average shall not be lower than USD 45, and the upper limit shall never be restricted; and set the warning line at USD 50 (CNY 335, CHF 48, EUR 80, NZD 80).</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【Commentary】 states: 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survival cash flow bottom line</w:t>
            </w:r>
            <w:r>
              <w:rPr>
                <w:rFonts w:ascii="DejaVu Serif" w:hAnsi="DejaVu Serif" w:eastAsia="Noto Sans CJK SC"/>
                <w:color w:val="000000"/>
                <w:sz w:val="19"/>
              </w:rPr>
              <w:t xml:space="preserve">”</w:t>
            </w:r>
            <w:r>
              <w:rPr>
                <w:rFonts w:ascii="DejaVu Serif" w:hAnsi="DejaVu Serif" w:eastAsia="Noto Sans CJK SC"/>
                <w:color w:val="000000"/>
                <w:sz w:val="19"/>
              </w:rPr>
              <w:t xml:space="preserve">—daily cash flow not lower than USD 45, with a warning line at USD 50 and no upper limit. The purpose of this legislation is to use quantified cash flow to guarantee one’s survival and decision-making independence, which is the starting point of this Charter’s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financial bottom line</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states: Cash flow is the material foundation of freedom (continuing from Articles 20 and 21). The phrase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upper limit shall never be restricted</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indicates that this Article is about</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setting a floor</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rather than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setting a ceiling,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encouraging unlimited ambition; the establishment of a</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warning line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demonstrates risk awareness. This is achieved through the cash flow of operations and investments (Article 57). Note: The numerical values in this Article have been adjusted by Annex E.01.001 (Amendment to Articles 18 and 19), for details see the 【Supplementary Note】 of that document.</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19, Article 20, Article 21, Article 57 【Sources of Cash Flow】, Annex E.01.001.</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58"/>
    <w:bookmarkStart w:id="59" w:name="X1680f97c1d012b8537071351dabef56d39ff3ed"/>
    <w:p>
      <w:pPr>
        <w:pStyle w:val="Heading3"/>
        <w:spacing w:after="120" w:line="312" w:lineRule="auto"/>
        <w:jc w:val="left"/>
      </w:pPr>
      <w:r>
        <w:rPr>
          <w:rFonts w:ascii="DejaVu Serif" w:hAnsi="DejaVu Serif" w:eastAsia="Noto Serif CJK SC"/>
          <w:color w:val="000000"/>
          <w:sz w:val="26"/>
        </w:rPr>
        <w:t xml:space="preserve">Article 19 【The Cash Amount of the Short-Term Baseline of Funds Necessary for Survival】</w:t>
      </w:r>
    </w:p>
    <w:p>
      <w:pPr>
        <w:pStyle w:val="FirstParagraph"/>
        <w:spacing w:after="120" w:line="312" w:lineRule="auto"/>
      </w:pPr>
      <w:r>
        <w:rPr>
          <w:rFonts w:ascii="DejaVu Serif" w:hAnsi="DejaVu Serif" w:eastAsia="Noto Serif CJK SC"/>
          <w:color w:val="000000"/>
          <w:sz w:val="22"/>
        </w:rPr>
        <w:t xml:space="preserve">To ensure the independence of personal decision-making, thought, and action, as well as one’s own survival, life safety, and fundamental food and shelter, one shall ensure that after starting a venture, one holds in hand a cash reserve of greater than or equal to 300,000 RMB or an equivalent or greater amount in foreign currency.</w:t>
      </w:r>
    </w:p>
    <w:tbl>
      <w:tblPr>
        <w:tblStyle w:val="Table"/>
        <w:tblW w:type="pct" w:w="5010"/>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6"/>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To ensure the independence of personal decision-making, thought, and action, as well as one’s own survival, life safety, and fundamental food and shelter, one shall ensure that after starting a venture, one holds in hand a cash reserve of greater than or equal to 300,000 RMB or an equivalent or greater amount in foreign currency.</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【Commentary】 states: 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cash reserve bottom line</w:t>
            </w:r>
            <w:r>
              <w:rPr>
                <w:rFonts w:ascii="DejaVu Serif" w:hAnsi="DejaVu Serif" w:eastAsia="Noto Sans CJK SC"/>
                <w:color w:val="000000"/>
                <w:sz w:val="19"/>
              </w:rPr>
              <w:t xml:space="preserve">”</w:t>
            </w:r>
            <w:r>
              <w:rPr>
                <w:rFonts w:ascii="DejaVu Serif" w:hAnsi="DejaVu Serif" w:eastAsia="Noto Sans CJK SC"/>
                <w:color w:val="000000"/>
                <w:sz w:val="19"/>
              </w:rPr>
              <w:t xml:space="preserve">—after starting a venture, the cash reserve on hand shall not be less than 300,000 RMB (or an equivalent amount in foreign currency or more). It complements Article 18 (daily cash flow): one is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flow,</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other is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storage,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together forming the twin pillars of survival security.</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states: The establishment of a reserve fund is to respond to the unexpected and guarantee freedom. The numerical value in this Article has also been adjusted by Annex E.01.001 (which has organized it into a cash reserve range), for details see the 【Supplementary Note】 of that document. The financial security of this life progresses in four layers: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flow (Article 18) + storage (Article 19) + core assets (Article 20) + passive income (Article 21)</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Articles 18, 20, 21, and Annex E.01.001.</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59"/>
    <w:bookmarkStart w:id="60" w:name="X042eca5ec125b77089a84fabbd00113c535a900"/>
    <w:p>
      <w:pPr>
        <w:pStyle w:val="Heading3"/>
        <w:spacing w:after="120" w:line="312" w:lineRule="auto"/>
        <w:jc w:val="left"/>
      </w:pPr>
      <w:r>
        <w:rPr>
          <w:rFonts w:ascii="DejaVu Serif" w:hAnsi="DejaVu Serif" w:eastAsia="Noto Serif CJK SC"/>
          <w:color w:val="000000"/>
          <w:sz w:val="26"/>
        </w:rPr>
        <w:t xml:space="preserve">Article 20 【The Ultimate Fundamental Purpose of Core-Asset Creation】</w:t>
      </w:r>
    </w:p>
    <w:p>
      <w:pPr>
        <w:pStyle w:val="FirstParagraph"/>
        <w:spacing w:after="120" w:line="312" w:lineRule="auto"/>
      </w:pPr>
      <w:r>
        <w:rPr>
          <w:rFonts w:ascii="DejaVu Serif" w:hAnsi="DejaVu Serif" w:eastAsia="Noto Serif CJK SC"/>
          <w:color w:val="000000"/>
          <w:sz w:val="22"/>
        </w:rPr>
        <w:t xml:space="preserve">The ultimate fundamental purpose of core asset creation is to enable the asset manager, through the purchase of others’ time, energy, attention, and other resources, to realize their own right to life, right to survival, right to health, right to bodily integrity, freedom of thought, freedom of action, personal freedom, freedom of time, freedom of attention, as well as the autonomy of decision-making, strategic self-determination, and the right to define the key concepts of one’s philosophy of life and worldview; and the ultimate realization of one’s own life prospects, vision, life dreams, ideals, ultimate target identity, life mission, personal values, and the ideal state of a minimalist lifestyle.</w:t>
      </w:r>
    </w:p>
    <w:p>
      <w:pPr>
        <w:pStyle w:val="BodyText"/>
        <w:spacing w:after="120" w:line="312" w:lineRule="auto"/>
      </w:pPr>
      <w:r>
        <w:rPr>
          <w:rFonts w:ascii="DejaVu Serif" w:hAnsi="DejaVu Serif" w:eastAsia="Noto Serif CJK SC"/>
          <w:color w:val="000000"/>
          <w:sz w:val="22"/>
        </w:rPr>
        <w:t xml:space="preserve">､ideals､ultimate target identity､life mission､personal values and the ideal state of a minimalist lifestyle.</w:t>
      </w:r>
    </w:p>
    <w:tbl>
      <w:tblPr>
        <w:tblStyle w:val="Table"/>
        <w:tblW w:type="pct" w:w="5007"/>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1"/>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ultimate fundamental purpose of core asset creation is to enable the asset manager, through the purchase of others’ time, energy, attention, and other resources, to realize their own right to life, right to survival, right to health, right to bodily integrity, freedom of thought, freedom of action, personal freedom, freedom of time, freedom of attention, as well as the autonomy of decision-making, strategic self-determination, and the right to define the key concepts of one’s philosophy of life and worldview, and the ultimate realization of one’s own life prospects, vision, dreams, ideals, ultimate target identity, mission, values, and the ideal state of a minimalist lifestyle.</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【Sub-commentary】 states: This Article reveals the ultimate purpose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Core Asset Creation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—to obtain maximum rights and freedoms for oneself through the purchase of others’ time, energy, and attention. This is the general logic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exchanging assets for freedom,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which is the core of this Charter’s financial philosophy.</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states: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Purchasing others’ time, energy, and attention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means using the power of systems, capital, and organizations to make others’ labor serve one’s own goals, thereby liberating one’s own time and freedom—this shares the same principle with Article 27 【Core Action Focus】 and Article 71 【Layout and Positioning】. The object is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all freedoms and all autonomous rights,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which corresponds to the list of rights in Articles 3 and 4.</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Articles 3, 4, 10 【Mission】, 21, 27, and 31.</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60"/>
    <w:bookmarkStart w:id="61" w:name="X0ee6a8f0b875597472d7d4172d3ed639afdf835"/>
    <w:p>
      <w:pPr>
        <w:pStyle w:val="Heading3"/>
        <w:spacing w:after="120" w:line="312" w:lineRule="auto"/>
        <w:jc w:val="left"/>
      </w:pPr>
      <w:r>
        <w:rPr>
          <w:rFonts w:ascii="DejaVu Serif" w:hAnsi="DejaVu Serif" w:eastAsia="Noto Serif CJK SC"/>
          <w:color w:val="000000"/>
          <w:sz w:val="26"/>
        </w:rPr>
        <w:t xml:space="preserve">Article 21 【The Final Goal of Life — Declaration of the Maximally Feasible Liberal Life Condition】</w:t>
      </w:r>
    </w:p>
    <w:p>
      <w:pPr>
        <w:pStyle w:val="FirstParagraph"/>
        <w:spacing w:after="120" w:line="312" w:lineRule="auto"/>
      </w:pPr>
      <w:r>
        <w:rPr>
          <w:rFonts w:ascii="DejaVu Serif" w:hAnsi="DejaVu Serif" w:eastAsia="Noto Serif CJK SC"/>
          <w:color w:val="000000"/>
          <w:sz w:val="22"/>
        </w:rPr>
        <w:t xml:space="preserve">My life’s ultimate goal—the maximum feasible libertarian life state—is, by means of usufructuary rights, right of abode, right to use movable property, corporate management rights, equity investment, private equity, external creditor’s rights, securities (including funds and bonds, etc.), and dividend rights (passive income interests), across the entire universe (at least globally), throughout my lifetime, relying on ① the corporate legal person system ② the financial system ③ the usufructuary rights system, contract system, agency system, etc. (systems) as the minimum feasible tools, to adopt a minimum feasible minimalist lifestyle of global residential living, transnational operations, establishment of globalized and internationalized private funds, establishment of transnational, cross-cultural private asset management companies, establishment of private (Macau/Switzerland) investment banks, global structured investment, international marriage and cross-national family formation, and online, electronic, and digitalized office work, as well as a work style primarily based on online activities, in order to obtain the identities of entrepreneur, financial investor, private fund (private equity) manager, writer, translator, cross-cultural activist, and multi-national PR holder, and based on this, to continue striving to achieve the following key life ideal states.</w:t>
      </w:r>
    </w:p>
    <w:tbl>
      <w:tblPr>
        <w:tblStyle w:val="Table"/>
        <w:tblW w:type="pct" w:w="5004"/>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6"/>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My life’s ultimate goal—the maximum feasible libertarian life state—is, by means of usufructuary rights, right of abode, right to use movable property, corporate management rights, equity investment, private equity, external creditor’s rights, securities (including funds, bonds, etc.) and dividend rights (passive income interests), across the entire universe (at least globally), throughout my lifetime, relying on ① the corporate legal person system ② the financial system ③ the usufructuary rights system, contract system, agency system, etc. as the minimum feasible tools, to adopt a minimum feasible minimalist lifestyle of global residential living, transnational operations, establishment of globalized and internationalized private funds, establishment of transnational, cross-cultural private asset management companies, establishment of private (Macau/Switzerland) investment banks, global structured investment, international marriage and cross-national family formation, and online, electronic, and digitalized office work, as well as a work style primarily based on online activities, in order to obtain the identities of entrepreneur, financial investor, private fund… (the full text shall be taken as the authentic text).</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【Sub-commentary】 states: This Article is the general declaration of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ultimate goal</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for the entire Chapter—the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maximum feasible libertarian life state.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Its structure is: relying on</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passive income tools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(usufructuary rights, equity, creditor’s rights, securities, dividend rights) as the foundation, using</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three major systems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(corporate law, finance, property rights, contracts, agency) as the instruments, to achieve the</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vision of free living</w:t>
            </w:r>
            <w:r>
              <w:rPr>
                <w:rFonts w:ascii="DejaVu Serif" w:hAnsi="DejaVu Serif" w:eastAsia="Noto Sans CJK SC"/>
                <w:color w:val="000000"/>
                <w:sz w:val="19"/>
              </w:rPr>
              <w:t xml:space="preserve"> </w:t>
            </w:r>
            <w:r>
              <w:rPr>
                <w:rFonts w:ascii="DejaVu Serif" w:hAnsi="DejaVu Serif" w:eastAsia="Noto Sans CJK SC"/>
                <w:color w:val="000000"/>
                <w:sz w:val="19"/>
              </w:rPr>
              <w:t xml:space="preserve">(residential living across countries, transnational operations, international marriage, digitalized office work). This Article is the ultimate destination of Articles 1-2, 8, and 20.</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【Discussion】It is discussed: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Passive income equity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the financial core of this Article, connecting with Articles 10 and 57.</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Minimalist viable minimalism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the principle of lifestyle, echoing</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minimalism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Article 1.</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Universal scope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once again echoes the cosmic citizenship concept in Article 7. This Article, together with Articles 22 【Global Residence Abroad】 and 23 【Essentialist Ideal State】, constitutes a complete description of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ideal life.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1-2, Article 8, Article 20, Article 22, Article 23, Article 31.</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61"/>
    <w:bookmarkStart w:id="62" w:name="Xd0af6df364b915ee9b1b67332594c2839077c91"/>
    <w:p>
      <w:pPr>
        <w:pStyle w:val="Heading3"/>
        <w:spacing w:after="120" w:line="312" w:lineRule="auto"/>
        <w:jc w:val="left"/>
      </w:pPr>
      <w:r>
        <w:rPr>
          <w:rFonts w:ascii="DejaVu Serif" w:hAnsi="DejaVu Serif" w:eastAsia="Noto Serif CJK SC"/>
          <w:color w:val="000000"/>
          <w:sz w:val="26"/>
        </w:rPr>
        <w:t xml:space="preserve">Article 22 【The Life Condition of Global Sojourning】</w:t>
      </w:r>
    </w:p>
    <w:p>
      <w:pPr>
        <w:pStyle w:val="FirstParagraph"/>
        <w:spacing w:after="120" w:line="312" w:lineRule="auto"/>
      </w:pPr>
      <w:r>
        <w:rPr>
          <w:rFonts w:ascii="DejaVu Serif" w:hAnsi="DejaVu Serif" w:eastAsia="Noto Serif CJK SC"/>
          <w:color w:val="000000"/>
          <w:sz w:val="22"/>
        </w:rPr>
        <w:t xml:space="preserve">My life of global residence abroad is specifically realized through the following methods, means, and channels for accommodation and travel: (1) Temporary stays in homestays worldwide; (2) Temporary stays in youth hostels worldwide; (3) Temporary stays in hotels of various star ratings worldwide; (4) Legally staying with other global residence enthusiasts worldwide; (5) Entering into short-to-medium term lease contracts with natural persons or legal entities; (6) Or establishing usufructuary (real) rights—right of residence—through agreements with natural persons or legal entities; (7) And leasing or purchasing recreational vehicles and hiring driving and operating personnel; (8) Hiring private secretaries, assistants, or substitute drivers with driving skills; (9) Finding and hiring substitute driving and operating personnel to provide services; (10) Purchasing services of the following means of transportation, including but not limited to: 1) Item 1. First class on airplanes; 2) Item 2. Business class on airplanes; 3) Item 3. Economy class on airplanes;</w:t>
      </w:r>
    </w:p>
    <w:p>
      <w:pPr>
        <w:pStyle w:val="Compact"/>
        <w:numPr>
          <w:ilvl w:val="0"/>
          <w:numId w:val="1009"/>
        </w:numPr>
        <w:spacing w:after="120" w:line="312" w:lineRule="auto"/>
      </w:pPr>
      <w:r>
        <w:rPr>
          <w:rFonts w:ascii="DejaVu Serif" w:hAnsi="DejaVu Serif" w:eastAsia="Noto Serif CJK SC"/>
          <w:color w:val="000000"/>
          <w:sz w:val="22"/>
        </w:rPr>
        <w:t xml:space="preserve">Item 4. Soft sleeper, hard sleeper, first-class seat, or second-class seat on high-speed train sleeper cars; 5) Item 5. Soft sleeper, hard sleeper, first-class seat, or second-class seat on bullet train sleeper cars; 6) Item 6. As well as soft sleeper, hard sleeper on direct, express, or fast trains; 7) Item 7. Or ordinary train seats (hard seats, etc.); 8) Item 8. Selecting to ride trams, buses, etc.</w:t>
      </w:r>
    </w:p>
    <w:tbl>
      <w:tblPr>
        <w:tblStyle w:val="Table"/>
        <w:tblW w:type="pct" w:w="5006"/>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8"/>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My life of global residence abroad is specifically realized through the following methods, means, and channels for accommodation and travel: (1) Temporary stays in homestays worldwide; (2) Youth hostels; (3) Hotels of various star ratings; (4) Legally staying with fellow global residence enthusiasts; (5) Short-to-medium term leasing with natural persons or legal entities; (6) Establishing usufructuary (real) rights—right of residence—through agreements; (7) Leasing or purchasing recreational vehicles and hiring driving and operating personnel; (8) Hiring private secretaries, assistants, or substitute drivers with driving skills; (9) Finding and hiring substitute driving and operating personnel to provide services; (10) Purchasing services of means of transportation such as first-class and business-class flights (the full text shall serve as the authentic text).</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【Sub-commentary】This Article transforms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global residence abroad</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from a concept (Article 7) into an operable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list of accommodation and travel methods.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Its legislative purpose is to make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residence abroad</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 sustainable lifestyle, rather than temporary travel.</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【Discussion】The listed methods reflect the lifestyle orientation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light assets, high mobility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—using rental, borrowing, and usufructuary rights instead of purchasing, which aligns with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light assets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red line in Article 8-3 and the no-home-purchasing principle in Article 22 (see Annex A.04.001). All expressions involving</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hire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are explicitly defined as cooperative and collaborative relationships according to Charter terminology.</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7, Article 8, Annex A.04.001 【Detailed Rules for Personal Lifestyle Principles】, Article 31.</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62"/>
    <w:bookmarkStart w:id="63" w:name="X5d13b6f52cb4e27e700e7aa94564ff919cd8d1e"/>
    <w:p>
      <w:pPr>
        <w:pStyle w:val="Heading3"/>
        <w:spacing w:after="120" w:line="312" w:lineRule="auto"/>
        <w:jc w:val="left"/>
      </w:pPr>
      <w:r>
        <w:rPr>
          <w:rFonts w:ascii="DejaVu Serif" w:hAnsi="DejaVu Serif" w:eastAsia="Noto Serif CJK SC"/>
          <w:color w:val="000000"/>
          <w:sz w:val="26"/>
        </w:rPr>
        <w:t xml:space="preserve">Article 22-2 【Supplement on the Residential Forms of Global Sojourning】</w:t>
      </w:r>
    </w:p>
    <w:p>
      <w:pPr>
        <w:pStyle w:val="FirstParagraph"/>
        <w:spacing w:after="120" w:line="312" w:lineRule="auto"/>
      </w:pPr>
      <w:r>
        <w:rPr>
          <w:rFonts w:ascii="DejaVu Serif" w:hAnsi="DejaVu Serif" w:eastAsia="Noto Serif CJK SC"/>
          <w:color w:val="000000"/>
          <w:sz w:val="22"/>
        </w:rPr>
        <w:t xml:space="preserve">〔This Article was added by Correction Bill (No. 4) on September 25, 2026, reviewed and approved by the Charter-Maker, and signed into effect〕</w:t>
      </w:r>
    </w:p>
    <w:p>
      <w:pPr>
        <w:pStyle w:val="BodyText"/>
        <w:spacing w:after="120" w:line="312" w:lineRule="auto"/>
      </w:pPr>
      <w:r>
        <w:rPr>
          <w:rFonts w:ascii="DejaVu Serif" w:hAnsi="DejaVu Serif" w:eastAsia="Noto Serif CJK SC"/>
          <w:color w:val="000000"/>
          <w:sz w:val="22"/>
        </w:rPr>
        <w:t xml:space="preserve">For a globally-resident life, where any of the following circumstances apply, the following modes, forms, and channels of residence may be legally adopted to realize it:</w:t>
      </w:r>
    </w:p>
    <w:p>
      <w:pPr>
        <w:numPr>
          <w:ilvl w:val="0"/>
          <w:numId w:val="1010"/>
        </w:numPr>
        <w:spacing w:after="120" w:line="312" w:lineRule="auto"/>
      </w:pPr>
      <w:r>
        <w:rPr>
          <w:rFonts w:ascii="DejaVu Serif" w:hAnsi="DejaVu Serif" w:eastAsia="Noto Serif CJK SC"/>
          <w:color w:val="000000"/>
          <w:sz w:val="22"/>
        </w:rPr>
        <w:t xml:space="preserve">Those who have a need for temporary, mobile, or transient residence;</w:t>
      </w:r>
    </w:p>
    <w:p>
      <w:pPr>
        <w:numPr>
          <w:ilvl w:val="0"/>
          <w:numId w:val="1010"/>
        </w:numPr>
        <w:spacing w:after="120" w:line="312" w:lineRule="auto"/>
      </w:pPr>
      <w:r>
        <w:rPr>
          <w:rFonts w:ascii="DejaVu Serif" w:hAnsi="DejaVu Serif" w:eastAsia="Noto Serif CJK SC"/>
          <w:color w:val="000000"/>
          <w:sz w:val="22"/>
        </w:rPr>
        <w:t xml:space="preserve">Those responding to the emergency避险 needs arising from natural disasters, public health incidents, and other emergencies;</w:t>
      </w:r>
    </w:p>
    <w:p>
      <w:pPr>
        <w:numPr>
          <w:ilvl w:val="0"/>
          <w:numId w:val="1010"/>
        </w:numPr>
        <w:spacing w:after="120" w:line="312" w:lineRule="auto"/>
      </w:pPr>
      <w:r>
        <w:rPr>
          <w:rFonts w:ascii="DejaVu Serif" w:hAnsi="DejaVu Serif" w:eastAsia="Noto Serif CJK SC"/>
          <w:color w:val="000000"/>
          <w:sz w:val="22"/>
        </w:rPr>
        <w:t xml:space="preserve">Those responding to the needs of disaster relief and transitional housing;</w:t>
      </w:r>
    </w:p>
    <w:p>
      <w:pPr>
        <w:numPr>
          <w:ilvl w:val="0"/>
          <w:numId w:val="1010"/>
        </w:numPr>
        <w:spacing w:after="120" w:line="312" w:lineRule="auto"/>
      </w:pPr>
      <w:r>
        <w:rPr>
          <w:rFonts w:ascii="DejaVu Serif" w:hAnsi="DejaVu Serif" w:eastAsia="Noto Serif CJK SC"/>
          <w:color w:val="000000"/>
          <w:sz w:val="22"/>
        </w:rPr>
        <w:t xml:space="preserve">For the purposes of adhering to the principles of light assets, high liquidity, cost optimization, and minimum viable minimalism;</w:t>
      </w:r>
    </w:p>
    <w:p>
      <w:pPr>
        <w:numPr>
          <w:ilvl w:val="0"/>
          <w:numId w:val="1010"/>
        </w:numPr>
        <w:spacing w:after="120" w:line="312" w:lineRule="auto"/>
      </w:pPr>
      <w:r>
        <w:rPr>
          <w:rFonts w:ascii="DejaVu Serif" w:hAnsi="DejaVu Serif" w:eastAsia="Noto Serif CJK SC"/>
          <w:color w:val="000000"/>
          <w:sz w:val="22"/>
        </w:rPr>
        <w:t xml:space="preserve">Other special circumstances of temporary residence that are in accordance with the purposes of this Charter.</w:t>
      </w:r>
    </w:p>
    <w:p>
      <w:pPr>
        <w:pStyle w:val="FirstParagraph"/>
        <w:spacing w:after="120" w:line="312" w:lineRule="auto"/>
      </w:pPr>
      <w:r>
        <w:rPr>
          <w:rFonts w:ascii="DejaVu Serif" w:hAnsi="DejaVu Serif" w:eastAsia="Noto Serif CJK SC"/>
          <w:color w:val="000000"/>
          <w:sz w:val="22"/>
        </w:rPr>
        <w:t xml:space="preserve">I shall adopt the following modes, forms, and channels to achieve this:</w:t>
      </w:r>
    </w:p>
    <w:p>
      <w:pPr>
        <w:pStyle w:val="BodyText"/>
        <w:spacing w:after="120" w:line="312" w:lineRule="auto"/>
      </w:pPr>
      <w:r>
        <w:rPr>
          <w:rFonts w:ascii="DejaVu Serif" w:hAnsi="DejaVu Serif" w:eastAsia="Noto Serif CJK SC"/>
          <w:color w:val="000000"/>
          <w:sz w:val="22"/>
        </w:rPr>
        <w:t xml:space="preserve">Item 1 Container houses (including container-transformed residences);</w:t>
      </w:r>
    </w:p>
    <w:p>
      <w:pPr>
        <w:pStyle w:val="BodyText"/>
        <w:spacing w:after="120" w:line="312" w:lineRule="auto"/>
      </w:pPr>
      <w:r>
        <w:rPr>
          <w:rFonts w:ascii="DejaVu Serif" w:hAnsi="DejaVu Serif" w:eastAsia="Noto Serif CJK SC"/>
          <w:color w:val="000000"/>
          <w:sz w:val="22"/>
        </w:rPr>
        <w:t xml:space="preserve">Item 2 Mobile prefabricated houses and prefabricated houses (including prefabricated and assembled houses);</w:t>
      </w:r>
    </w:p>
    <w:p>
      <w:pPr>
        <w:pStyle w:val="BodyText"/>
        <w:spacing w:after="120" w:line="312" w:lineRule="auto"/>
      </w:pPr>
      <w:r>
        <w:rPr>
          <w:rFonts w:ascii="DejaVu Serif" w:hAnsi="DejaVu Serif" w:eastAsia="Noto Serif CJK SC"/>
          <w:color w:val="000000"/>
          <w:sz w:val="22"/>
        </w:rPr>
        <w:t xml:space="preserve">Item 3 Disaster relief tents, large-scale military tents (including emergency disaster relief type prefabricated houses and disaster resettlement type tents);</w:t>
      </w:r>
    </w:p>
    <w:p>
      <w:pPr>
        <w:pStyle w:val="BodyText"/>
        <w:spacing w:after="120" w:line="312" w:lineRule="auto"/>
      </w:pPr>
      <w:r>
        <w:rPr>
          <w:rFonts w:ascii="DejaVu Serif" w:hAnsi="DejaVu Serif" w:eastAsia="Noto Serif CJK SC"/>
          <w:color w:val="000000"/>
          <w:sz w:val="22"/>
        </w:rPr>
        <w:t xml:space="preserve">Item 4: Tents and Camping (including camping tents, self-driving camping, and staying at campgrounds);</w:t>
      </w:r>
    </w:p>
    <w:p>
      <w:pPr>
        <w:pStyle w:val="BodyText"/>
        <w:spacing w:after="120" w:line="312" w:lineRule="auto"/>
      </w:pPr>
      <w:r>
        <w:rPr>
          <w:rFonts w:ascii="DejaVu Serif" w:hAnsi="DejaVu Serif" w:eastAsia="Noto Serif CJK SC"/>
          <w:color w:val="000000"/>
          <w:sz w:val="22"/>
        </w:rPr>
        <w:t xml:space="preserve">Item 5: Yurts, felt houses, and other nomadic dwellings;</w:t>
      </w:r>
    </w:p>
    <w:p>
      <w:pPr>
        <w:pStyle w:val="BodyText"/>
        <w:spacing w:after="120" w:line="312" w:lineRule="auto"/>
      </w:pPr>
      <w:r>
        <w:rPr>
          <w:rFonts w:ascii="DejaVu Serif" w:hAnsi="DejaVu Serif" w:eastAsia="Noto Serif CJK SC"/>
          <w:color w:val="000000"/>
          <w:sz w:val="22"/>
        </w:rPr>
        <w:t xml:space="preserve">Item 6: Light ecological dwellings such as wooden houses, treehouses, and light steel prefabricated small houses;</w:t>
      </w:r>
    </w:p>
    <w:p>
      <w:pPr>
        <w:pStyle w:val="BodyText"/>
        <w:spacing w:after="120" w:line="312" w:lineRule="auto"/>
      </w:pPr>
      <w:r>
        <w:rPr>
          <w:rFonts w:ascii="DejaVu Serif" w:hAnsi="DejaVu Serif" w:eastAsia="Noto Serif CJK SC"/>
          <w:color w:val="000000"/>
          <w:sz w:val="22"/>
        </w:rPr>
        <w:t xml:space="preserve">Item 7: Long-term residence in a trailer caravan and caravan parks;</w:t>
      </w:r>
    </w:p>
    <w:p>
      <w:pPr>
        <w:pStyle w:val="BodyText"/>
        <w:spacing w:after="120" w:line="312" w:lineRule="auto"/>
      </w:pPr>
      <w:r>
        <w:rPr>
          <w:rFonts w:ascii="DejaVu Serif" w:hAnsi="DejaVu Serif" w:eastAsia="Noto Serif CJK SC"/>
          <w:color w:val="000000"/>
          <w:sz w:val="22"/>
        </w:rPr>
        <w:t xml:space="preserve">Item 8 Capsule hotels, pod hotels, and other micro-scale shared accommodations;</w:t>
      </w:r>
    </w:p>
    <w:p>
      <w:pPr>
        <w:pStyle w:val="BodyText"/>
        <w:spacing w:after="120" w:line="312" w:lineRule="auto"/>
      </w:pPr>
      <w:r>
        <w:rPr>
          <w:rFonts w:ascii="DejaVu Serif" w:hAnsi="DejaVu Serif" w:eastAsia="Noto Serif CJK SC"/>
          <w:color w:val="000000"/>
          <w:sz w:val="22"/>
        </w:rPr>
        <w:t xml:space="preserve">Item 9: Work exchange (including collaborative work exchange, mutual-aid residency, etc., in which accommodation is provided in exchange for civil cooperation);</w:t>
      </w:r>
    </w:p>
    <w:p>
      <w:pPr>
        <w:pStyle w:val="BodyText"/>
        <w:spacing w:after="120" w:line="312" w:lineRule="auto"/>
      </w:pPr>
      <w:r>
        <w:rPr>
          <w:rFonts w:ascii="DejaVu Serif" w:hAnsi="DejaVu Serif" w:eastAsia="Noto Serif CJK SC"/>
          <w:color w:val="000000"/>
          <w:sz w:val="22"/>
        </w:rPr>
        <w:t xml:space="preserve">Item 10 Other temporary, mobile, and minimum viable forms of residence that are consistent with the purposes of this Charter.</w:t>
      </w:r>
    </w:p>
    <w:p>
      <w:pPr>
        <w:pStyle w:val="BodyText"/>
        <w:spacing w:after="120" w:line="312" w:lineRule="auto"/>
      </w:pPr>
      <w:r>
        <w:rPr>
          <w:rFonts w:ascii="DejaVu Serif" w:hAnsi="DejaVu Serif" w:eastAsia="Noto Serif CJK SC"/>
          <w:color w:val="000000"/>
          <w:sz w:val="22"/>
        </w:rPr>
        <w:t xml:space="preserve">The adoption of the aforementioned forms must all conform to the principles of light assets, high liquidity, minimum viable minimalism, and the principle of not purchasing real estate (Annex A.04.001); any expressions involving</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雇</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(employ) or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工</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(labor/work) shall, in accordance with the ironclad terminology of the Charter, be uniformly understood as civil cooperative and collaborative relationships, and shall in no circumstance constitute an employment relationship.</w:t>
      </w:r>
    </w:p>
    <w:tbl>
      <w:tblPr>
        <w:tblStyle w:val="Table"/>
        <w:tblW w:type="pct" w:w="5002"/>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3"/>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For my globally nomadic life, where any of the following circumstances apply, I may lawfully realize it through the following residential methods, forms, and channels: Article 1 【Applicable Circumstances】 (1) Those with needs for temporary, mobile, or fluid residence; (2) Those with needs for emergency risk mitigation in response to natural disasters, public health events, or other emergencies; (3) Those with needs for disaster resettlement or transitional housing; (4) Those with needs based on the principles of light assets, high mobility, cost optimization, and minimum viable minimalism; (5) Other special nomadic circumstances that align with the purposes of this Charter. Article 2 【Residential Forms】 Item 1 Container houses (including converted container residences); Item 2 Mobile prefabricated houses, portable houses (including prefabricated and assembled houses); Item 3 Disaster relief tents, large military tents (including emergency disaster relief tents and disaster resettlement tents); Item 4 Tents and camping (including camping tents, self-driving camping, and campsite stays); Item 5 Yurts, felt houses, and other nomadic dwellings; Item 6 Light ecological dwellings such as wooden houses, tree houses, and light steel prefabricated small houses; Item 7 Long-term stays in towable RVs and RV parks; Item 8 Micro-shared accommodations such as capsule hotels and space capsule hotels; Item 9 Work-exchange (including collaborative work-exchange and mutual assistance stays, exchanging accommodation through civil cooperation); Item 10 Other temporary, mobile, minimum viable residential forms that align with the purposes of this Charter. Article 3 【Common Principles】 The adoption of the aforementioned forms must all comply with the principles of light assets, high mobility, minimum viable minimalism, and the principle of not purchasing real estate (Annex A.04.001); Any expressions involving</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雇</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(employ) or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工</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(labor) shall, in accordance with the ironclad terminology rules of the Charter, be uniformly understood as civil cooperative and collaborative relationships, and shall never constitute labor or employment relationships. (The full text shall be taken as the authentic text; this article was added by Correction Bill (IV) on September 25, 2026, which has been reviewed, approved, and signed into effect by the Charter-Maker)</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Sub-commentary: This article is a supplementary provision to Article 22 【The State of Globally Nomadic Life】, expanding the scope of its residential forms. Article 22 establishes the framework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global nomadism,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listing seven categories of accommodation and travel aspects such as homestays, youth hostels, hotels, staying with others, rentals, right of residence, and RVs; however, as times evolve and residential technology advances, new residential forms such as container houses, mobile prefabricated houses, disaster relief tents, camping tents, yurts, wooden houses, RV parks, and capsule hotels have emerged, which are particularly necessary during emergency disaster relief. Therefore, this article is established to be comprehensive, first listing applicable circumstances as the entry point, then listing ten forms as a checklist, and finally setting constraints with common principles. Its legislative intent is consistent with Article 22—to make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nomadism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 sustainable and adaptable lifestyle.</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The five circumstances in Article 1 are the threshold for applying this article—</w:t>
            </w:r>
            <w:r>
              <w:rPr>
                <w:rFonts w:ascii="DejaVu Serif" w:hAnsi="DejaVu Serif" w:eastAsia="Noto Sans CJK SC"/>
                <w:color w:val="000000"/>
                <w:sz w:val="19"/>
              </w:rPr>
              <w:t xml:space="preserve">“</w:t>
            </w:r>
            <w:r>
              <w:rPr>
                <w:rFonts w:ascii="DejaVu Serif" w:hAnsi="DejaVu Serif" w:eastAsia="Noto Sans CJK SC"/>
                <w:color w:val="000000"/>
                <w:sz w:val="19"/>
              </w:rPr>
              <w:t xml:space="preserve">temporary, mobile, fluid</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(routine nomadism),</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emergency risk mitigation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(natural disasters, public health events, emergencies),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disaster resettlement, transitional housing,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light assets, high mobility, cost optimization, and minimum viable minimalism,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other special nomadic circumstances.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five are listed in parallel, and any one of them can be invoked. The ten forms in Article 2 are all implementations oriented towards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light assets, high mobility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container houses, mobile prefabricated houses, and disaster relief tents are detachable and movable; camping, yurts, and wooden houses are close to nature; RV parks, capsule hotels, and work-exchange are centered on sharing and mobility. The common principles in Article 3 reaffirm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light assets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red line from Article 8-3 and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no real estate purchase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principle from Annex A.04.001; as for Item 9</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work-exchange,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it involves exchanging accommodation through civil cooperation methods such as skill collaboration, service exchange, and experience sharing. In accordance with the general regulations of TERM-REVIEW-001 Terminology Consistency Review, it must not be expressed as terms containing labor subordination such as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working for accommodation,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 the intention of de-employment must be especially upheld here. Correction Bill (IV) also establishes two other articles: 【Terminology Rectification】 and 【Coordination with Existing Provisions】, clarifying its order of effect and application.</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22, Article 8-3, Article 23, Article 31, Annex A.04.001; Correction Bill (IV) (effective September 25, 2026).</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63"/>
    <w:bookmarkStart w:id="64" w:name="X3a578b97283edcec4d87ddf9fa3826e32b87fd4"/>
    <w:p>
      <w:pPr>
        <w:pStyle w:val="Heading3"/>
        <w:spacing w:after="120" w:line="312" w:lineRule="auto"/>
        <w:jc w:val="left"/>
      </w:pPr>
      <w:r>
        <w:rPr>
          <w:rFonts w:ascii="DejaVu Serif" w:hAnsi="DejaVu Serif" w:eastAsia="Noto Serif CJK SC"/>
          <w:color w:val="000000"/>
          <w:sz w:val="26"/>
        </w:rPr>
        <w:t xml:space="preserve">Article 22-3 【Waterborne and Other Special Forms of Residence】</w:t>
      </w:r>
    </w:p>
    <w:p>
      <w:pPr>
        <w:pStyle w:val="FirstParagraph"/>
        <w:spacing w:after="120" w:line="312" w:lineRule="auto"/>
      </w:pPr>
      <w:r>
        <w:rPr>
          <w:rFonts w:ascii="DejaVu Serif" w:hAnsi="DejaVu Serif" w:eastAsia="Noto Serif CJK SC"/>
          <w:color w:val="000000"/>
          <w:sz w:val="22"/>
        </w:rPr>
        <w:t xml:space="preserve">〔This article was added by Correction Bill (V) on September 25, 2026, which has been reviewed, approved, and signed into effect by the Charter-Maker〕</w:t>
      </w:r>
    </w:p>
    <w:p>
      <w:pPr>
        <w:pStyle w:val="BodyText"/>
        <w:spacing w:after="120" w:line="312" w:lineRule="auto"/>
      </w:pPr>
      <w:r>
        <w:rPr>
          <w:rFonts w:ascii="DejaVu Serif" w:hAnsi="DejaVu Serif" w:eastAsia="Noto Serif CJK SC"/>
          <w:color w:val="000000"/>
          <w:sz w:val="22"/>
        </w:rPr>
        <w:t xml:space="preserve">As a globally-resident individual, I may adopt a residential form on water and unconventional carriers under the following special circumstances:</w:t>
      </w:r>
    </w:p>
    <w:p>
      <w:pPr>
        <w:numPr>
          <w:ilvl w:val="0"/>
          <w:numId w:val="1011"/>
        </w:numPr>
        <w:spacing w:after="120" w:line="312" w:lineRule="auto"/>
      </w:pPr>
      <w:r>
        <w:rPr>
          <w:rFonts w:ascii="DejaVu Serif" w:hAnsi="DejaVu Serif" w:eastAsia="Noto Serif CJK SC"/>
          <w:color w:val="000000"/>
          <w:sz w:val="22"/>
        </w:rPr>
        <w:t xml:space="preserve">Those in need of emergency shelter, disaster resettlement, or the handling of unexpected incidents;</w:t>
      </w:r>
    </w:p>
    <w:p>
      <w:pPr>
        <w:numPr>
          <w:ilvl w:val="0"/>
          <w:numId w:val="1011"/>
        </w:numPr>
        <w:spacing w:after="120" w:line="312" w:lineRule="auto"/>
      </w:pPr>
      <w:r>
        <w:rPr>
          <w:rFonts w:ascii="DejaVu Serif" w:hAnsi="DejaVu Serif" w:eastAsia="Noto Serif CJK SC"/>
          <w:color w:val="000000"/>
          <w:sz w:val="22"/>
        </w:rPr>
        <w:t xml:space="preserve">Those who have a need for special residency experiences, research and study, or other extraordinary circumstances.</w:t>
      </w:r>
    </w:p>
    <w:p>
      <w:pPr>
        <w:pStyle w:val="FirstParagraph"/>
        <w:spacing w:after="120" w:line="312" w:lineRule="auto"/>
      </w:pPr>
      <w:r>
        <w:rPr>
          <w:rFonts w:ascii="DejaVu Serif" w:hAnsi="DejaVu Serif" w:eastAsia="Noto Serif CJK SC"/>
          <w:color w:val="000000"/>
          <w:sz w:val="22"/>
        </w:rPr>
        <w:t xml:space="preserve">Item 1: Houseboats, boat dwellings, and other forms of waterborne habitation;</w:t>
      </w:r>
    </w:p>
    <w:p>
      <w:pPr>
        <w:pStyle w:val="BodyText"/>
        <w:spacing w:after="120" w:line="312" w:lineRule="auto"/>
      </w:pPr>
      <w:r>
        <w:rPr>
          <w:rFonts w:ascii="DejaVu Serif" w:hAnsi="DejaVu Serif" w:eastAsia="Noto Serif CJK SC"/>
          <w:color w:val="000000"/>
          <w:sz w:val="22"/>
        </w:rPr>
        <w:t xml:space="preserve">Item 2 Special waterborne carriers such as floating platforms on water and floating residences on water;</w:t>
      </w:r>
    </w:p>
    <w:p>
      <w:pPr>
        <w:pStyle w:val="BodyText"/>
        <w:spacing w:after="120" w:line="312" w:lineRule="auto"/>
      </w:pPr>
      <w:r>
        <w:rPr>
          <w:rFonts w:ascii="DejaVu Serif" w:hAnsi="DejaVu Serif" w:eastAsia="Noto Serif CJK SC"/>
          <w:color w:val="000000"/>
          <w:sz w:val="22"/>
        </w:rPr>
        <w:t xml:space="preserve">Item 3 Temporary forms of water-based residence in special circumstances such as emergency shelters and disaster relief settlements.</w:t>
      </w:r>
    </w:p>
    <w:p>
      <w:pPr>
        <w:pStyle w:val="BodyText"/>
        <w:spacing w:after="120" w:line="312" w:lineRule="auto"/>
      </w:pPr>
      <w:r>
        <w:rPr>
          <w:rFonts w:ascii="DejaVu Serif" w:hAnsi="DejaVu Serif" w:eastAsia="Noto Serif CJK SC"/>
          <w:color w:val="000000"/>
          <w:sz w:val="22"/>
        </w:rPr>
        <w:t xml:space="preserve">The forms listed in the preceding paragraph are provided only as special designations and are to be used only under specific circumstances; they shall not be established as permanent forms of residence.</w:t>
      </w:r>
    </w:p>
    <w:p>
      <w:pPr>
        <w:pStyle w:val="BodyText"/>
        <w:spacing w:after="120" w:line="312" w:lineRule="auto"/>
      </w:pPr>
      <w:r>
        <w:rPr>
          <w:rFonts w:ascii="DejaVu Serif" w:hAnsi="DejaVu Serif" w:eastAsia="Noto Serif CJK SC"/>
          <w:color w:val="000000"/>
          <w:sz w:val="22"/>
        </w:rPr>
        <w:t xml:space="preserve">Those who adopt residential forms using waterborne and unconventional carriers shall comply with the laws, administrative regulations, and provisions of the competent authorities concerning water area management, navigation safety, public security, fire prevention, environmental protection, and shall not obstruct the public interest or the lawful rights and interests of others.</w:t>
      </w:r>
    </w:p>
    <w:p>
      <w:pPr>
        <w:pStyle w:val="BodyText"/>
        <w:spacing w:after="120" w:line="312" w:lineRule="auto"/>
      </w:pPr>
      <w:r>
        <w:rPr>
          <w:rFonts w:ascii="DejaVu Serif" w:hAnsi="DejaVu Serif" w:eastAsia="Noto Serif CJK SC"/>
          <w:color w:val="000000"/>
          <w:sz w:val="22"/>
        </w:rPr>
        <w:t xml:space="preserve">The adoption of this form shall apply mutatis mutandis to the provisions of paragraph 3 of Article 22-2 [Common Principles].</w:t>
      </w:r>
    </w:p>
    <w:tbl>
      <w:tblPr>
        <w:tblStyle w:val="Table"/>
        <w:tblW w:type="pct" w:w="5003"/>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4"/>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My global nomadic life may adopt residential forms on water and unconventional carriers under the following special circumstances: Article 1 【Applicable Circumstances】 (1) Those requiring emergency shelter, disaster安置, or response to emergencies; (2) Those requiring unconventional circumstances such as special nomadic experiences, research, and investigation. Article 2 【Residential Forms】 Item 1: Water-based residential forms such as houseboats and boat dwellings; Item 2: Special water-based carriers such as floating platforms and floating residences on water; Item 3: Temporary water-based residential forms under special circumstances such as emergency shelter and disaster安置. Article 3 【Special Form Annotation】 The forms listed in the preceding paragraph are only annotated as special forms, to be used only under specific circumstances, and shall not be considered as regular residential forms. Article 4 【Safety and Compliance Restrictions】 Those adopting water-based and unconventional carrier residential forms must comply with laws, administrative regulations, and provisions of competent authorities concerning water area management, navigation safety, public security, fire prevention, environmental protection, etc., and must not obstruct public interests or the lawful rights and interests of others. Article 5 【Application by Analogy】 The adoption of this form shall apply by analogy to the provisions of Article 22-2, Paragraph 3 【Common Principles】. (The full text shall be taken as the authentic text; this article was added by Correction Bill (V) on September 25, 2026, which has been reviewed, approved, and signed into effect by the Charter-Maker).</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Sub-commentary: This article supplements Article 22-2 and specifically addresses residences on water and unconventional carriers. Although houseboats, boat dwellings, floating platforms, etc., are also possible forms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global nomadism,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their residences float on water and involve special regulations concerning water area management, navigation safety, public security, and fire prevention, which differ significantly from land-based forms. Therefore, they cannot be listed together with the ten land-based items but must be established as a separate article with a separate characterization. The legislative intent is to</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acknowledge their possibility while limiting their status</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—they are not to be considered regular residential forms but are only annotated as special forms and permitted only under specific circumstances.</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Article 1 limits the applicable circumstances to two categories: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emergency shelter, disaster安置, and response to emergencies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special nomadic experiences, research, and investigation,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showing their extraordinary status. Article 3’s provision that they are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only annotated as special forms, to be used only under specific circumstances, and not as regular residential forms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the core characterization of this article, clearly distinguishing it from the land-based forms listed in Article 22-2 that can be regularly adopted. Article 4’s safety and compliance restrictions align with the distinction in Article 25 【Case-by-Case Review】 and Annex G.01.001 concerning</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mandatory provisions explicitly stipulated by law</w:t>
            </w:r>
            <w:r>
              <w:rPr>
                <w:rFonts w:ascii="DejaVu Serif" w:hAnsi="DejaVu Serif" w:eastAsia="Noto Sans CJK SC"/>
                <w:color w:val="000000"/>
                <w:sz w:val="19"/>
              </w:rPr>
              <w:t xml:space="preserve">”</w:t>
            </w:r>
            <w:r>
              <w:rPr>
                <w:rFonts w:ascii="DejaVu Serif" w:hAnsi="DejaVu Serif" w:eastAsia="Noto Sans CJK SC"/>
                <w:color w:val="000000"/>
                <w:sz w:val="19"/>
              </w:rPr>
              <w:t xml:space="preserve">—all mandatory provisions concerning water areas, navigation, public security, fire prevention, and environmental protection must be complied with. Article 5’s application by analogy of common principles ensures the consistency of the principles of de-employment and light assets. Correction Bill (V) also establishes two additional articles 【Coordination with Existing Provisions】 and 【Explanation of Special Forms】 to solidify its effect and scope of application.</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22, Article 22-2, Article 25, Annex A.04.001, Annex G.01.001; Correction Bill (V) (effective September 25, 2026).</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64"/>
    <w:bookmarkStart w:id="65" w:name="X3cc36b83b526df4306603be52bd0642abdb689a"/>
    <w:p>
      <w:pPr>
        <w:pStyle w:val="Heading3"/>
        <w:spacing w:after="120" w:line="312" w:lineRule="auto"/>
        <w:jc w:val="left"/>
      </w:pPr>
      <w:r>
        <w:rPr>
          <w:rFonts w:ascii="DejaVu Serif" w:hAnsi="DejaVu Serif" w:eastAsia="Noto Serif CJK SC"/>
          <w:color w:val="000000"/>
          <w:sz w:val="26"/>
        </w:rPr>
        <w:t xml:space="preserve">Article 23 【The Ideal State of Essentialism】</w:t>
      </w:r>
    </w:p>
    <w:p>
      <w:pPr>
        <w:pStyle w:val="FirstParagraph"/>
        <w:spacing w:after="120" w:line="312" w:lineRule="auto"/>
      </w:pPr>
      <w:r>
        <w:rPr>
          <w:rFonts w:ascii="DejaVu Serif" w:hAnsi="DejaVu Serif" w:eastAsia="Noto Serif CJK SC"/>
          <w:color w:val="000000"/>
          <w:sz w:val="22"/>
        </w:rPr>
        <w:t xml:space="preserve">To maximize the free experience of personal life, I may, in circumstances not expressly prohibited by the Criminal Code and its judicial interpretations as they exist at the time of the action’s occurrence, rely on my own rational thinking to independently, carefully, and thoughtfully consider all options, list them all, and make strategic and tactical choices that best align with my innermost convictions; without violating the aforementioned principles, I may engage in any form of for-profit business activities that I recognize, including but not limited to the following: (1) Equity structure planning and design activities; (2) Equity structure planning and design consulting and agency activities; (3) Corporate organizational structure planning and design activities; (4) Corporate organizational structure planning and design consulting and agency activities; (5) Business model planning and design activities; (6) Business model planning and design consulting and agency activities; (7) Legal consulting and advisory activities permitted by law; (8) Various information consulting activities; (9) Various project planning activities; (10) Various civil agency activities; (11) Cultural dissemination and media activities; (12) For-profit tea industry business activities; (13) For-profit Hanfu cultural industry business activities; (14) For-profit cross-border e-commerce business activities; (15) For-profit entry and exit agency business activities; (16) For-profit entry and exit (cross-border) business, investment, inspection, finance (including but not limited to international equity investment operations, equity financing operations, private fund management and operations), and for-profit business activities related to the establishment and operation of (group or single corporate legal entities); (17) For-profit business activities related to translation, (electronic) publishing, and cross-cultural communication; (18) For-profit tourism and travel-related business activities; (19) For-profit agency activities related to international marriage, international family formation, international immigration, and acquisition of permanent residency; (20) For-profit academic activities related to international study abroad, study tours, and academic visits; (21) Other legal business activities that I am interested in and that do not violate the law; (22) 【The ideal state of financial freedom】A positive (inflow) cash flow greater than or equal to 125% of total expenditures in the same period, thus achieving an ideal state and way of life where there is no need to continue selling any of my own assets to obtain consumption expenditures; (23) 【The ideal state of business operations】Standardization, automation, institutionalization, internationalization, and grouping of business operations, where the founder can act as the actual controller and detach from the business operations.</w:t>
      </w:r>
    </w:p>
    <w:p>
      <w:pPr>
        <w:pStyle w:val="Compact"/>
        <w:numPr>
          <w:ilvl w:val="0"/>
          <w:numId w:val="1012"/>
        </w:numPr>
        <w:spacing w:after="120" w:line="312" w:lineRule="auto"/>
      </w:pPr>
      <w:r>
        <w:rPr>
          <w:rFonts w:ascii="DejaVu Serif" w:hAnsi="DejaVu Serif" w:eastAsia="Noto Serif CJK SC"/>
          <w:color w:val="000000"/>
          <w:sz w:val="22"/>
        </w:rPr>
        <w:t xml:space="preserve">【The ideal state of free time arrangement】The schedule of activities, specific content, and implementation time are all arranged by myself, and no one else may interfere. I do not accept anyone arranging my daily activities in any way, with no exceptions to this clause. Any activity must be negotiated on an equal basis regarding time, place, and method; otherwise, it will not be accepted under any circumstances, unless it directly threatens my life.</w:t>
      </w:r>
    </w:p>
    <w:tbl>
      <w:tblPr>
        <w:tblStyle w:val="Table"/>
        <w:tblW w:type="pct" w:w="5004"/>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6"/>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To maximize the free experience of personal life, I may, in circumstances not expressly prohibited by the Criminal Code and its judicial interpretations as they exist at the time of the action’s occurrence, rely on my own rational thinking to independently, carefully, and thoughtfully consider all options, list them all, and make strategic and tactical choices that best align with my innermost convictions; without violating the aforementioned principles, I may engage in any form of for-profit business activities that I recognize, including but not limited to: (1) Equity structure planning and design activities; (2) Equity structure planning and design consulting and agency; (3) Corporate organizational structure planning and design; (4) Corporate organizational structure planning and design consulting and agency; (5) Business model planning and design; (6) Business model planning and design consulting and agency; (7) Legal consulting and advisory under legal permission; (8) Various information consulting; (9) Various project planning; (10) Various civil agency; (11) … (The full text shall be taken as the authentic text).</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【Commentary】This Article declares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Essentialist Ideal State</w:t>
            </w:r>
            <w:r>
              <w:rPr>
                <w:rFonts w:ascii="DejaVu Serif" w:hAnsi="DejaVu Serif" w:eastAsia="Noto Sans CJK SC"/>
                <w:color w:val="000000"/>
                <w:sz w:val="19"/>
              </w:rPr>
              <w:t xml:space="preserve">”</w:t>
            </w:r>
            <w:r>
              <w:rPr>
                <w:rFonts w:ascii="DejaVu Serif" w:hAnsi="DejaVu Serif" w:eastAsia="Noto Sans CJK SC"/>
                <w:color w:val="000000"/>
                <w:sz w:val="19"/>
              </w:rPr>
              <w:t xml:space="preserve">—in areas not expressly prohibited by the Criminal Code, to freely choose with rational thinking and to engage in recognized for-profit activities in any form. The legislative intent is to maximize my space for freedom and business possibilities based on the principle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all that is not forbidden is permitted.</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【Discussion】The more than ten for-profit activities listed in this Article (equity planning, structure design, business models, legal consulting, information consulting, project planning, civil agency, etc.) are essentially my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list of business scopes,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to be cross-referenced with Article 2 (item 28), Article 8, and Articles 84 to 86.</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Independently listing all options with rational thinking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the decision-making method, which is connected to Article 25 【One Issue, One Discussion】 and Article 75 【Thinking Model Decision-Making】.</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8, Article 25, Article 75, Article 77, Articles 84 to 86.</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65"/>
    <w:bookmarkStart w:id="66" w:name="X23f57b1f639c741c12cb27c249df44b5b33db3e"/>
    <w:p>
      <w:pPr>
        <w:pStyle w:val="Heading3"/>
        <w:spacing w:after="120" w:line="312" w:lineRule="auto"/>
        <w:jc w:val="left"/>
      </w:pPr>
      <w:r>
        <w:rPr>
          <w:rFonts w:ascii="DejaVu Serif" w:hAnsi="DejaVu Serif" w:eastAsia="Noto Serif CJK SC"/>
          <w:color w:val="000000"/>
          <w:sz w:val="26"/>
        </w:rPr>
        <w:t xml:space="preserve">Article 24 【The Principle of Conditionalist Transactional Essentialism Regarding All Things; the Principle of an Action Model Taking Criminal Law as the Initial Baseline and Maintaining Good-Faith Conduct】</w:t>
      </w:r>
    </w:p>
    <w:p>
      <w:pPr>
        <w:pStyle w:val="FirstParagraph"/>
        <w:spacing w:after="120" w:line="312" w:lineRule="auto"/>
      </w:pPr>
      <w:r>
        <w:rPr>
          <w:rFonts w:ascii="DejaVu Serif" w:hAnsi="DejaVu Serif" w:eastAsia="Noto Serif CJK SC"/>
          <w:color w:val="000000"/>
          <w:sz w:val="22"/>
        </w:rPr>
        <w:t xml:space="preserve">I recognize that all things and phenomena are constructed based on conditions and are essentially transactional in nature. Any attribution that does not reduce to the exchange conditions between myself and others (non-myself) is considered non-essential. Cognitive thinking should begin freely from the attribution of exchange conditions between myself and others, with the mandatory provisions of criminal law and its judicial interpretations as the absolute minimum baseline. This baseline should be continuously raised as my own conditions improve and as the number of people under my leadership increases, acting with benevolent intentions to achieve mutual benefit.</w:t>
      </w:r>
    </w:p>
    <w:tbl>
      <w:tblPr>
        <w:tblStyle w:val="Table"/>
        <w:tblW w:type="pct" w:w="5007"/>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0"/>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(This Article is titled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Principle of Conditional Transactional Essentialism of All Things; The Action Model Principle of Maintaining Benevolent Action with Criminal Law as the Initial Baseline,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 the text elaborates: all things can be understood transactionally, and all relationships are exchanges under conditionalism; criminal law serves as the initial baseline for action, while simultaneously maintaining a model of benevolent action. The verbatim full text shall be taken as the authentic text.)</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Sub-commentary: This Article is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cornerstone worldview</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the Charter—</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Conditional Transactional Essentialism of All Things.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Its meaning has two aspects: First,</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Transactionalism</w:t>
            </w:r>
            <w:r>
              <w:rPr>
                <w:rFonts w:ascii="DejaVu Serif" w:hAnsi="DejaVu Serif" w:eastAsia="Noto Sans CJK SC"/>
                <w:color w:val="000000"/>
                <w:sz w:val="19"/>
              </w:rPr>
              <w:t xml:space="preserve">—understanding the relationships between people through</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conditional exchange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(connected to Article 35,</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All persons are equal in status and engage in exchanges based on law and contract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Second,</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Benevolent Baseline</w:t>
            </w:r>
            <w:r>
              <w:rPr>
                <w:rFonts w:ascii="DejaVu Serif" w:hAnsi="DejaVu Serif" w:eastAsia="Noto Sans CJK SC"/>
                <w:color w:val="000000"/>
                <w:sz w:val="19"/>
              </w:rPr>
              <w:t xml:space="preserve">—action takes criminal law as the initial baseline while simultaneously maintaining benevolent action. This Article is the philosophical origin of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General Principles of Civil Activities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Articles 35, 87 to 92.</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Transactional Essentialism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does not negate human sentiment but serves as a clear cognitive tool: viewing relationships through a transactional lens prevents being misled by false sentiment and ensures one does not lose sight of interests. However, this Article simultaneously establishes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criminal law as the initial baseline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maintaining benevolent action,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indicating that the fundamental nature of transactionalism is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law-abiding + benevolent,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which is not in conflict with Article 6</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Good Faith</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 Article 90 【Principle of Good Faith】. This Article and my personal</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altruism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(Articles 72, 73, and 111) form two sides of the same coin: understanding the reality of transactions while acting with benevolence.</w:t>
            </w:r>
          </w:p>
        </w:tc>
      </w:tr>
      <w:tr>
        <w:tc>
          <w:tcPr/>
          <w:p>
            <w:pPr>
              <w:pStyle w:val="Compact"/>
              <w:spacing w:after="40" w:line="288" w:lineRule="auto"/>
              <w:jc w:val="left"/>
            </w:pPr>
            <w:r>
              <w:rPr>
                <w:rFonts w:ascii="DejaVu Serif" w:hAnsi="DejaVu Serif" w:eastAsia="Noto Sans CJK SC"/>
                <w:b/>
                <w:bCs/>
                <w:color w:val="C00000"/>
                <w:sz w:val="19"/>
              </w:rPr>
              <w:t xml:space="preserve">【Legislative History】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This Article may have been omitted in the original text order; it has now been added according to the systematic directory, and its essential meaning shall be taken as per the authentic text.</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Articles 35, 45 【Attribution of Personal Jurisdiction, Final】, 72, 73, 87 to 92.</w:t>
            </w:r>
          </w:p>
        </w:tc>
      </w:tr>
      <w:tr>
        <w:tc>
          <w:tcPr/>
          <w:p>
            <w:pPr>
              <w:pStyle w:val="Compact"/>
              <w:spacing w:after="40" w:line="288" w:lineRule="auto"/>
              <w:jc w:val="left"/>
            </w:pPr>
            <w:r>
              <w:rPr>
                <w:rFonts w:ascii="DejaVu Serif" w:hAnsi="DejaVu Serif" w:eastAsia="Noto Sans CJK SC"/>
                <w:color w:val="000000"/>
                <w:sz w:val="19"/>
              </w:rPr>
              <w:t xml:space="preserve">(Continued from Article 25 and subsequent Articles)</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66"/>
    <w:bookmarkStart w:id="67" w:name="X0006581072a6af6df5bd4963dd4f1018ba223f7"/>
    <w:p>
      <w:pPr>
        <w:pStyle w:val="Heading3"/>
        <w:spacing w:after="120" w:line="312" w:lineRule="auto"/>
        <w:jc w:val="left"/>
      </w:pPr>
      <w:r>
        <w:rPr>
          <w:rFonts w:ascii="DejaVu Serif" w:hAnsi="DejaVu Serif" w:eastAsia="Noto Serif CJK SC"/>
          <w:color w:val="000000"/>
          <w:sz w:val="26"/>
        </w:rPr>
        <w:t xml:space="preserve">Article 25 【The Principle of Case-by-Case Deliberation and Single-Occasion Analysis】</w:t>
      </w:r>
    </w:p>
    <w:p>
      <w:pPr>
        <w:pStyle w:val="FirstParagraph"/>
        <w:spacing w:after="120" w:line="312" w:lineRule="auto"/>
      </w:pPr>
      <w:r>
        <w:rPr>
          <w:rFonts w:ascii="DejaVu Serif" w:hAnsi="DejaVu Serif" w:eastAsia="Noto Serif CJK SC"/>
          <w:color w:val="000000"/>
          <w:sz w:val="22"/>
        </w:rPr>
        <w:t xml:space="preserve">To ensure that the impact of external influences on the life trajectory of the Charter’s applicable actor is reduced to the minimum necessary extent, to prevent interference or intervention in my own thinking, cognition, and decision-making from any person, including but not limited to parents, relatives, friends, advisors, or any other personnel, that violates the original intention of the Charter-Maker, and to ensure that my thinking remains continuously active, innovative, and creative, for any analysis at any time, a policy of one matter, one discussion and one time, one analysis shall be implemented in conjunction with other principles of this Charter and this principle, and responsibility shall be borne independently.</w:t>
      </w:r>
    </w:p>
    <w:tbl>
      <w:tblPr>
        <w:tblStyle w:val="Table"/>
        <w:tblW w:type="pct" w:w="5007"/>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1"/>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To ensure that the impact of external influences on the life trajectory of the Charter’s applicable actor is reduced to the minimum necessary extent, to prevent interference or intervention in my own thinking, cognition, and decision-making from parents, relatives, friends, advisors, or any other personnel that violates the original intention of the Charter-Maker, and to ensure that my thinking remains continuously active, innovative, and creative, for any analysis at any time, a policy of one matter, one discussion and one time, one analysis shall be implemented in conjunction with other principles of this Charter and this principle, and responsibility shall be borne independently.</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Sub-commentary: 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one matter, one discussion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decision-making methodology—every matter is analyzed individually, without applying precedents or accommodating others, in order to achieve the purpose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minimum necessary intervention.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This is the operationalization of the purpose of Article 1.</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What this Article guards against is not only external impositions but also the soft interference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close ones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(parents, relatives, friends, advisors). The phrase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in conjunction with other principles of this Charter</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indicates that</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one matter, one discussion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not isolated and arbitrary, but rather specific discretion based on the Charter as a whole. This Article, along with Article 26 【Complete and Solely Law-Based Autonomous Decision-Making】, Article 33 【Maximum Right of Self-Determination】, and Article 54 【Focus Matters at Each Stage】, are all laws concerning</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self-determination.</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Articles 1, 26, 33, 74 【Flexible Invocation of Tools and Methods】, 119 【Review and Analysis】.</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67"/>
    <w:bookmarkStart w:id="68" w:name="Xb8c6606bce0d72953ab4016b28b7ec17b801995"/>
    <w:p>
      <w:pPr>
        <w:pStyle w:val="Heading3"/>
        <w:spacing w:after="120" w:line="312" w:lineRule="auto"/>
        <w:jc w:val="left"/>
      </w:pPr>
      <w:r>
        <w:rPr>
          <w:rFonts w:ascii="DejaVu Serif" w:hAnsi="DejaVu Serif" w:eastAsia="Noto Serif CJK SC"/>
          <w:color w:val="000000"/>
          <w:sz w:val="26"/>
        </w:rPr>
        <w:t xml:space="preserve">Article 26 【The Principle of Making Life Decisions Autonomously, Solely in Accordance with Law】</w:t>
      </w:r>
    </w:p>
    <w:p>
      <w:pPr>
        <w:pStyle w:val="FirstParagraph"/>
        <w:spacing w:after="120" w:line="312" w:lineRule="auto"/>
      </w:pPr>
      <w:r>
        <w:rPr>
          <w:rFonts w:ascii="DejaVu Serif" w:hAnsi="DejaVu Serif" w:eastAsia="Noto Serif CJK SC"/>
          <w:color w:val="000000"/>
          <w:sz w:val="22"/>
        </w:rPr>
        <w:t xml:space="preserve">My life, regardless of in which</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country,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region,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under which ruler’s rule, or regardless of how any person evaluates or perceives me, as long as my freedom of life, survival, and lifelong existence is not under serious and realistic threat, I shall not accept any arrangement or exercise of choice on my behalf that is not of my own (autonomous will); toward any other person (regardless of any labels they may have), I possess the right to, at any time, for any proposal they make, make a</w:t>
      </w:r>
    </w:p>
    <w:p>
      <w:pPr>
        <w:pStyle w:val="BodyText"/>
        <w:spacing w:after="120" w:line="312" w:lineRule="auto"/>
      </w:pPr>
      <w:r>
        <w:rPr>
          <w:rFonts w:ascii="DejaVu Serif" w:hAnsi="DejaVu Serif" w:eastAsia="Noto Serif CJK SC"/>
          <w:color w:val="000000"/>
          <w:sz w:val="22"/>
        </w:rPr>
        <w:t xml:space="preserve">I shall exercise my veto power. This principle must be remembered regardless of the other party’s identity, social relationship with me, status, nationality, educational background, or any other labels. The two unchangeable fundamental facts must always be kept in mind: that the other party is essentially 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human being,</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that I possess the inalienable right to autonomous thought and the autonomous right to make decisions regarding my own life, which I shall enjoy throughout my life under any circumstances.</w:t>
      </w:r>
    </w:p>
    <w:tbl>
      <w:tblPr>
        <w:tblStyle w:val="Table"/>
        <w:tblW w:type="pct" w:w="5008"/>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2"/>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My life, regardless of which</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country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region,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under which ruler, and regardless of anyone’s evaluation or perception of me, I do not accept any arrangement or exercise of agency of choice that is not of my own (autonomous will) as long as my life, survival, and lifelong freedom are not under serious practical threat. I possess the immediate veto power over any proposal from others (regardless of their labels)… I must always enjoy these two unchangeable fundamental facts: the inalienable right to autonomous thought and the autonomous right to make decisions regarding my own life.</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Sub-commentary: This Article establishes the absolute principle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autonomous decision-making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—except when life, survival, or lifelong freedom are under serious practical threat, I do not accept any non-autonomous arrangements or agency, and I have the immediate right to veto any proposal from any person. This is the declaration of action of a</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sovereign individual.</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veto power</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this Article is the institutional guarantee for my life’s autonomy and is mutually complementary with Article 30 【No one other than myself has the right to make decisions for me】: one is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 will not be arranged by others,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 the other is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Others may not make decisions on my behalf.</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phrase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regardless of nationality, regardless of evaluation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echoes the position of a cosmic citizen in Article 7. However, Article 125 must be considered together: autonomous decision-making is bounded by not violating mandatory legal provisions.</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7, Article 30, Article 33, Article 34, Article 125.</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68"/>
    <w:bookmarkStart w:id="69" w:name="Xfed767d09a594b1a2e63413bfeda736dac06935"/>
    <w:p>
      <w:pPr>
        <w:pStyle w:val="Heading3"/>
        <w:spacing w:after="120" w:line="312" w:lineRule="auto"/>
        <w:jc w:val="left"/>
      </w:pPr>
      <w:r>
        <w:rPr>
          <w:rFonts w:ascii="DejaVu Serif" w:hAnsi="DejaVu Serif" w:eastAsia="Noto Serif CJK SC"/>
          <w:color w:val="000000"/>
          <w:sz w:val="26"/>
        </w:rPr>
        <w:t xml:space="preserve">Article 27 【The Principle of Concentrating on the</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Most Core Action</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of Life’s Conduct】</w:t>
      </w:r>
    </w:p>
    <w:p>
      <w:pPr>
        <w:pStyle w:val="FirstParagraph"/>
        <w:spacing w:after="120" w:line="312" w:lineRule="auto"/>
      </w:pPr>
      <w:r>
        <w:rPr>
          <w:rFonts w:ascii="DejaVu Serif" w:hAnsi="DejaVu Serif" w:eastAsia="Noto Serif CJK SC"/>
          <w:color w:val="000000"/>
          <w:sz w:val="22"/>
        </w:rPr>
        <w:t xml:space="preserve">At all times when working, I must choose to focus on performing the most profitable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most core action (or series of actions),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handle other activities through all feasible legal means such as authorizing others, entrusting them, partnerships, labor agency, etc.</w:t>
      </w:r>
    </w:p>
    <w:tbl>
      <w:tblPr>
        <w:tblStyle w:val="Table"/>
        <w:tblW w:type="pct" w:w="5010"/>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5"/>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At all times when working, I must choose to focus on performing the most profitable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most core action (or series of actions),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 handle other activities through all feasible legal means such as authorizing others, entrusting them, partnerships, labor agency, etc.</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Sub-commentary: This Article establishes the efficiency principle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focusing on the most core action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—I only perform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most profitable core actions,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 entrust all other matters to others through authorization, commission, partnership, and agency. This is the method for my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leveraged</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existence.</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shares the same logic as Article 20 【Purchasing others’ time, energy, and attention】, Article 11 【Obtaining others’ capacity for action for oneself】, and Article 71 【Strategic positioning to lead】—it is about expanding personal effectiveness through</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organization and authorization.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All expressions involving</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authorization, commission, partnership, labor agency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are explicitly defined in Charter terminology as relationships of cooperation and collaboration.</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11, Article 20, Article 71, Annex D.02.001 【The Grand Canon of Safe Life Action】.</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69"/>
    <w:bookmarkStart w:id="70" w:name="X78bec8b0bcd7bc7ae46c1e653f4063295ec4cfc"/>
    <w:p>
      <w:pPr>
        <w:pStyle w:val="Heading3"/>
        <w:spacing w:after="120" w:line="312" w:lineRule="auto"/>
        <w:jc w:val="left"/>
      </w:pPr>
      <w:r>
        <w:rPr>
          <w:rFonts w:ascii="DejaVu Serif" w:hAnsi="DejaVu Serif" w:eastAsia="Noto Serif CJK SC"/>
          <w:color w:val="000000"/>
          <w:sz w:val="26"/>
        </w:rPr>
        <w:t xml:space="preserve">Article 28 【The Principle of Autonomously Making Decisions Not Pertaining to Fatal Matters or Weather Changes】</w:t>
      </w:r>
    </w:p>
    <w:p>
      <w:pPr>
        <w:pStyle w:val="FirstParagraph"/>
        <w:spacing w:after="120" w:line="312" w:lineRule="auto"/>
      </w:pPr>
      <w:r>
        <w:rPr>
          <w:rFonts w:ascii="DejaVu Serif" w:hAnsi="DejaVu Serif" w:eastAsia="Noto Serif CJK SC"/>
          <w:color w:val="000000"/>
          <w:sz w:val="22"/>
        </w:rPr>
        <w:t xml:space="preserve">Unless due to fatal or highly dangerous reasons, I do not change decisions or determinations made autonomously due to weather reasons. If necessary, this can be resolved by carrying rain gear and other rain protection methods, but for established decisions, they must be implemented in principle.</w:t>
      </w:r>
    </w:p>
    <w:tbl>
      <w:tblPr>
        <w:tblStyle w:val="Table"/>
        <w:tblW w:type="pct" w:w="5011"/>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6"/>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Unless due to fatal or highly dangerous reasons, I do not change decisions or determinations made autonomously due to weather reasons. If necessary, this can be resolved by carrying rain gear and other rain protection methods, but for established decisions, they must be implemented in principle.</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Sub-commentary: This Article uses the metaphor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not changing established decisions on rainy days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to establish the principle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resolve in decision-making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—established decisions must be implemented in principle, except in cases of fatal or highly dangerous risks, and should not be moved by trivial external factors.</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uses a small matter to illustrate a greater truth: the strength of will is seen in details. It is to be read together with Article 6</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Valuing trust, daring to change</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r>
              <w:rPr>
                <w:rFonts w:ascii="DejaVu Serif" w:hAnsi="DejaVu Serif" w:eastAsia="Noto Sans CJK SC"/>
                <w:color w:val="000000"/>
                <w:sz w:val="19"/>
              </w:rPr>
              <w:t xml:space="preserve">daring to change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refers to the courage to correct mistakes, while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not changing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refers to the determination to uphold what is correct. These two are not contradictory: change what should be changed (errors), and uphold what should be upheld (promises).</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6, Article 29, Article 70 【Long-term Thinking】, Article 86 【The Intensity of One’s Own Motivation】.</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70"/>
    <w:bookmarkStart w:id="71" w:name="X1d68ae4b05dc69c65a3000d5e12e4b48f009060"/>
    <w:p>
      <w:pPr>
        <w:pStyle w:val="Heading3"/>
        <w:spacing w:after="120" w:line="312" w:lineRule="auto"/>
        <w:jc w:val="left"/>
      </w:pPr>
      <w:r>
        <w:rPr>
          <w:rFonts w:ascii="DejaVu Serif" w:hAnsi="DejaVu Serif" w:eastAsia="Noto Serif CJK SC"/>
          <w:color w:val="000000"/>
          <w:sz w:val="26"/>
        </w:rPr>
        <w:t xml:space="preserve">Article 29 【The Principle of Making No Decision That Is Not for One’s Own Sake】</w:t>
      </w:r>
    </w:p>
    <w:p>
      <w:pPr>
        <w:pStyle w:val="FirstParagraph"/>
        <w:spacing w:after="120" w:line="312" w:lineRule="auto"/>
      </w:pPr>
      <w:r>
        <w:rPr>
          <w:rFonts w:ascii="DejaVu Serif" w:hAnsi="DejaVu Serif" w:eastAsia="Noto Serif CJK SC"/>
          <w:color w:val="000000"/>
          <w:sz w:val="22"/>
        </w:rPr>
        <w:t xml:space="preserve">“</w:t>
      </w:r>
      <w:r>
        <w:rPr>
          <w:rFonts w:ascii="DejaVu Serif" w:hAnsi="DejaVu Serif" w:eastAsia="Noto Serif CJK SC"/>
          <w:color w:val="000000"/>
          <w:sz w:val="22"/>
        </w:rPr>
        <w:t xml:space="preserve">Maximum Right of Self-Determination and the Principle of Its Respect,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 adhere to the principle of not making any decisions or determinations on behalf of any natural person or legal entity other than myself (including relatives, spouses, romantic partners, paying users, etc.) without the request of the counterparty or for my own interests or those involving my core interests. However, this shall not apply in any of the following circumstances: (1) When my own life or right to survival faces a (serious) actual threat, necessitating that I immediately make specific decisions or determinations for natural persons or legal entities other than myself (persons with actual authority); (2) When it is necessary for the performance of duties in an identity (such as operator of an international private fund management entity, international entrepreneur) chosen entirely based on or purely according to my own autonomous thinking and will; (3) When it is necessary for practicing, experiencing, or bringing pleasure to my physical and mental self through an identity based on personal hobbies (for example: sojourner, freelance writer, translator, etc.); (4) Based on mandatory provisions of criminal law, requiring that I immediately make specific decisions or determinations for natural persons or legal entities other than myself (persons with actual authority), otherwise facing actual substantial criminal penalties of ten years or more in duration, or life-deprivation type substantial criminal penalties;</w:t>
      </w:r>
    </w:p>
    <w:p>
      <w:pPr>
        <w:pStyle w:val="Compact"/>
        <w:numPr>
          <w:ilvl w:val="0"/>
          <w:numId w:val="1013"/>
        </w:numPr>
        <w:spacing w:after="120" w:line="312" w:lineRule="auto"/>
      </w:pPr>
      <w:r>
        <w:rPr>
          <w:rFonts w:ascii="DejaVu Serif" w:hAnsi="DejaVu Serif" w:eastAsia="Noto Serif CJK SC"/>
          <w:color w:val="000000"/>
          <w:sz w:val="22"/>
        </w:rPr>
        <w:t xml:space="preserve">Based on mandatory provisions of civil law, commercial law, and related laws, requiring that I immediately make specific decisions or determinations for natural persons or legal entities other than myself (persons with actual authority), otherwise facing current and foreseeable legal (monetary amount) penalties that I deem unacceptable after rational case-specific analysis; (6) Based on explicit provisions of contract terms in a specific Case, or based on the principle of reciprocity or other principles, I believe that immediately making specific decisions or determinations for natural persons or legal entities other than myself (persons with actual authority) is based on the agreement between myself and the counterparty (party); (7) Upon the request of the counterparty or for the purposes of business, finance, or investment (for long-term development or to maintain the ultimate essence of life goals ⁵), and it is inevitably necessary to immediately make specific decisions or determinations for natural persons or legal entities other than myself (persons with actual authority). (Note: ⁵ In adhering to my actions at the time of their occurrence, it is generally required not to violate criminal laws of the place where the action occurs (in special cases, including places affected by the consequences of the action), such as the Criminal Law of the People’s Republic of China, the Swiss Federal Criminal Code, etc. In special cases, it is absolutely required not to violate the explicit provisions of clauses in the aforementioned laws (codes) that stipulate imprisonment of ten years or more (excluding this number) or penalties equivalent to imprisonment of ten years or more (excluding this number). As the absolute bottom line, with the premise of aligning with my own values and ideals, providing well-being to all and helping them achieve the ideal state that I am currently achieving or am about to achieve as the highest life ideal state goal, I construct for myself an asset system object with a monthly monetary inflow of no less than the monetary amount of my own total living expenses during the same period, through the method of employing others, so that I am for life not required to engage in any work or activities not出于 my subjective will for any consumption-related expenditures in my life.)</w:t>
      </w:r>
    </w:p>
    <w:tbl>
      <w:tblPr>
        <w:tblStyle w:val="Table"/>
        <w:tblW w:type="pct" w:w="5004"/>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5"/>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 adhere to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Maximum Right of Self-Determination and the Principle of Its Respect,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 without the request of the counterparty or for my own interests or those involving my core interests, I do not make any decisions or determinations on behalf of any natural person or legal entity other than myself (including relatives, spouses, romantic partners, paying users, etc.). However, this shall not apply in any of the following circumstances: (1) When my own life or right to survival faces a (serious) actual threat, necessitating that I immediately make specific decisions or determinations for natural persons or legal entities other than myself (persons with actual authority); (2) When it is necessary for the performance of duties in an identity (such as operator of an international private fund management entity, international entrepreneur) chosen entirely based on my own autonomous thinking and will; (3) When it is necessary for practicing, experiencing, or bringing pleasure to my physical and mental self through an identity based on personal hobbies (for example: sojourner, freelance writer, translator); (4) Based on mandatory provisions of criminal law, requiring that I immediately make specific decisions or determinations for natural persons or legal entities other than myself (persons with actual authority)… (The full text shall be taken as the authentic text).</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Sub-commentary: This Article establishes the principle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Not Making Decisions for Others</w:t>
            </w:r>
            <w:r>
              <w:rPr>
                <w:rFonts w:ascii="DejaVu Serif" w:hAnsi="DejaVu Serif" w:eastAsia="Noto Sans CJK SC"/>
                <w:color w:val="000000"/>
                <w:sz w:val="19"/>
              </w:rPr>
              <w:t xml:space="preserve">”</w:t>
            </w:r>
            <w:r>
              <w:rPr>
                <w:rFonts w:ascii="DejaVu Serif" w:hAnsi="DejaVu Serif" w:eastAsia="Noto Sans CJK SC"/>
                <w:color w:val="000000"/>
                <w:sz w:val="19"/>
              </w:rPr>
              <w:t xml:space="preserve">—except for specific exceptions, I do not overstep my authority and make decisions for others (including relatives, spouses, clients). This Article is the mirror of Article 33,</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Maximum Right of Self-Determination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If I desire self-determination, then I must also respect the self-determination of others.</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The four exceptions cover: emergency aid (1), necessity for performing duties (2), identity based on personal hobbies (3), and legal compulsion (4). Beyond these, one must not overstep. This Article, together with Articles 30, 34, and Articles 94 to 99, and Article 118, collectively constitutes the view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clear rights and responsibilities,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 is connected with Article 112 【Praise Priority】 and Article 118 【Equal Respect】.</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Articles 30, 33, 34, Articles 94 to 99, Article 118.</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71"/>
    <w:bookmarkStart w:id="72" w:name="X874a79fe0145139e7f100014abf9e3faf97052d"/>
    <w:p>
      <w:pPr>
        <w:pStyle w:val="Heading3"/>
        <w:spacing w:after="120" w:line="312" w:lineRule="auto"/>
        <w:jc w:val="left"/>
      </w:pPr>
      <w:r>
        <w:rPr>
          <w:rFonts w:ascii="DejaVu Serif" w:hAnsi="DejaVu Serif" w:eastAsia="Noto Serif CJK SC"/>
          <w:color w:val="000000"/>
          <w:sz w:val="26"/>
        </w:rPr>
        <w:t xml:space="preserve">Article 30 【The Principle That No One Other Than the Author May Make Any Decision for the Author】</w:t>
      </w:r>
    </w:p>
    <w:p>
      <w:pPr>
        <w:pStyle w:val="FirstParagraph"/>
        <w:spacing w:after="120" w:line="312" w:lineRule="auto"/>
      </w:pPr>
      <w:r>
        <w:rPr>
          <w:rFonts w:ascii="DejaVu Serif" w:hAnsi="DejaVu Serif" w:eastAsia="Noto Serif CJK SC"/>
          <w:color w:val="000000"/>
          <w:sz w:val="22"/>
        </w:rPr>
        <w:t xml:space="preserve">Based on Article 18 of this Charter,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Principle of Complete and Solely Law-Based Independent Decision-Making in Life,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any person other than oneself (including natural persons and natural persons within corporate entities), without being in a situation where one’s life or survival faces grave danger, or even if not in such a situation but without explicit oral or written agency authorization from oneself, regardless of whether acting in good faith or malice, has no authority to make any decisions for oneself or on behalf of oneself. If such decisions are made, oneself has the right to refuse them and inform the person: (1) One’s father or mother; (2) Any other close relatives of oneself; (3) Teachers or other professionals engaged by oneself; (4) Professional advisors who have entered into commercial or civil relationships with oneself; (5) One’s doctor, except in situations of emergency; (6) Persons who have specific contractual relationships with oneself; (7) One’s subordinates; (8) One’s superiors (if they exist); (9) One’s spouse, partner, or persons in similar relationships; (10) One’s friends, like-minded persons, or persons of similar nature; (11) Natural persons or their representatives within corporate entities with whom oneself interacts in work and life; (12) Other natural persons other than oneself or natural persons within corporate entities not listed above.</w:t>
      </w:r>
    </w:p>
    <w:tbl>
      <w:tblPr>
        <w:tblStyle w:val="Table"/>
        <w:tblW w:type="pct" w:w="5005"/>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7"/>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Based on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Principle of Complete and Solely Law-Based Independent Decision-Making in Life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this Charter, any person other than oneself (including natural persons and natural persons within corporate entities), without being in a situation where one’s life or survival faces grave danger, or even if not facing such danger but without explicit oral or written agency authorization from oneself, regardless of whether acting in good faith or malice, has no authority to make any decisions for oneself or on behalf of oneself. If such decisions are made, oneself has the right to refuse them and inform the person: (1) One’s father or mother; (2) Any other close relatives of oneself; (3) Teachers or other professionals engaged by oneself; (4) Professional advisors who have entered into commercial or civil relationships with oneself; (5) One’s doctor (except in emergency situations); (6) Persons who have specific contractual relationships with oneself; (7) One’s subordinates; (8) One’s superiors (if they exist); (9) … (The full text shall be taken as the authentic text).</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Sub-commentary: This article is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counterpart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to Article 26—clarifying</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who has no authority to make decisions for oneself.</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legislative intent is to dismantle the myths that</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intimacy equals authority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professionalism equals authority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through enumeration: even parents, spouses, teachers, doctors, and contractual counterparts may not overstep their bounds and make decisions on behalf of another.</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The identities enumerated in this article encompass all</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kinship and trust relationships in one’s life that might otherwise warrant proxy decision-making,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yet all are denied agency authority, with only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emergency + explicit authorization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the boundary. This is the ultimate expression of the principle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self-determination supreme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one’s life, serving as a mutual footnote to Article 33’s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no one has the right to preach.</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All historical expressions such as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subordinates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superiors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shall be understood in accordance with the terminology explicitly defined in the Charter.</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Articles 26, 29, and 33.</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72"/>
    <w:bookmarkStart w:id="73" w:name="Xabae896010a47bba7d229e144c4edef07cd181d"/>
    <w:p>
      <w:pPr>
        <w:pStyle w:val="Heading3"/>
        <w:spacing w:after="120" w:line="312" w:lineRule="auto"/>
        <w:jc w:val="left"/>
      </w:pPr>
      <w:r>
        <w:rPr>
          <w:rFonts w:ascii="DejaVu Serif" w:hAnsi="DejaVu Serif" w:eastAsia="Noto Serif CJK SC"/>
          <w:color w:val="000000"/>
          <w:sz w:val="26"/>
        </w:rPr>
        <w:t xml:space="preserve">Article 31 【The Premise for Realizing the Final Goal of Life: Core-Asset Creation】</w:t>
      </w:r>
    </w:p>
    <w:p>
      <w:pPr>
        <w:pStyle w:val="FirstParagraph"/>
        <w:spacing w:after="120" w:line="312" w:lineRule="auto"/>
      </w:pPr>
      <w:r>
        <w:rPr>
          <w:rFonts w:ascii="DejaVu Serif" w:hAnsi="DejaVu Serif" w:eastAsia="Noto Serif CJK SC"/>
          <w:color w:val="000000"/>
          <w:sz w:val="22"/>
        </w:rPr>
        <w:t xml:space="preserve">The prerequisite for achieving life’s ultimate goals is the creation of core assets by combining trends, societal needs, and personal advantages, with specific methods including: (1) Establishing one’s own company and standardizing business operations and automating operations; (2) Purchasing shares of listed companies and obtaining rights to income; (3) Purchasing property usage rights and obtaining income rights for high-value intellectual property objects; (4) Purchasing property usage rights for high-value objects that can be sub-leased (e.g., real estate leasing is not currently possible; whether there will be changes in the mandatory provisions of the laws of the People’s Republic of China, relevant policy provisions and their orientation should be determined by closely monitoring changes in the policy statements of relevant political persons through their official channels (official websites, documents, etc.); (5) Obtaining income rights for property of high-value objects that can be sub-leased (e.g., real estate leasing is not currently possible; whether there will be changes in the mandatory provisions of the laws of the People’s Republic of China, relevant policy provisions and their orientation should be determined by closely monitoring changes in the policy statements of relevant political persons through their official channels (official websites, documents, etc.).</w:t>
      </w:r>
    </w:p>
    <w:tbl>
      <w:tblPr>
        <w:tblStyle w:val="Table"/>
        <w:tblW w:type="pct" w:w="5007"/>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1"/>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prerequisite for achieving life’s ultimate goals is the creation of core assets by combining trends, societal needs, and personal advantages, with specific methods including: (1) Establishing one’s own company and standardizing business operations and automating operations; (2) Purchasing shares of listed companies and obtaining rights to income; (3) Purchasing property usage rights and obtaining income rights for high-value intellectual property objects; (4) Purchasing property usage rights for high-value objects that can be sub-leased; (5) Obtaining income rights for property of high-value objects that can be sub-leased; (The full text shall be taken as the authentic text).</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Sub-commentary: This Article specifies the concrete paths for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core asset creation,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serving as the implementation of the premise (Article 20, Purpose). Its five methods are: operating one’s own company (automated), stock investment, intellectual property income, and leasehold rights and income rights that can be sub-leased. This connects with Article 21, [Passive Income Tools for Ultimate Goals].</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The essence of the paths lies in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standardization, automation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(liberating oneself) 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passive income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21). Items (4) and (5),</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sub-leasable high-value assets,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require close attention to changes in the laws and policies of the People’s Republic of China (such as real estate leasing policies), and to respond dynamically in accordance with Article 125.</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Articles 20, 21, 57, Articles 100 to 103, Article 125.</w:t>
            </w:r>
          </w:p>
        </w:tc>
      </w:tr>
    </w:tbl>
    <w:bookmarkEnd w:id="73"/>
    <w:bookmarkEnd w:id="74"/>
    <w:bookmarkStart w:id="98" w:name="X3adec339324277bcbf50aa22ca1ad92f3a00971"/>
    <w:p>
      <w:pPr>
        <w:pStyle w:val="Heading2"/>
        <w:spacing w:after="160" w:line="312" w:lineRule="auto"/>
        <w:jc w:val="left"/>
      </w:pPr>
      <w:r>
        <w:rPr>
          <w:rFonts w:ascii="DejaVu Serif" w:hAnsi="DejaVu Serif" w:eastAsia="Noto Serif CJK SC"/>
          <w:color w:val="000000"/>
          <w:sz w:val="30"/>
        </w:rPr>
        <w:t xml:space="preserve">Volume Five Chapter on Core Action Principles</w:t>
      </w:r>
    </w:p>
    <w:p>
      <w:pPr>
        <w:spacing w:after="120" w:line="312" w:lineRule="auto"/>
      </w:pPr>
      <w:r>
        <w:rPr>
          <w:rFonts w:ascii="DejaVu Serif" w:hAnsi="DejaVu Serif" w:eastAsia="Noto Serif CJK SC"/>
          <w:color w:val="000000"/>
          <w:sz w:val="22"/>
        </w:rPr>
        <w:pict>
          <v:rect style="width:0;height:1.5pt" o:hralign="center" o:hrstd="t" o:hr="t"/>
        </w:pict>
      </w:r>
    </w:p>
    <w:bookmarkStart w:id="75" w:name="X24551bb95cd13cd379d0978459fe4138d382f48"/>
    <w:p>
      <w:pPr>
        <w:pStyle w:val="Heading3"/>
        <w:spacing w:after="120" w:line="312" w:lineRule="auto"/>
        <w:jc w:val="left"/>
      </w:pPr>
      <w:r>
        <w:rPr>
          <w:rFonts w:ascii="DejaVu Serif" w:hAnsi="DejaVu Serif" w:eastAsia="Noto Serif CJK SC"/>
          <w:color w:val="000000"/>
          <w:sz w:val="26"/>
        </w:rPr>
        <w:t xml:space="preserve">Article 32 【On the Construction of a Knowledge Structure and Cognitive Map】</w:t>
      </w:r>
    </w:p>
    <w:p>
      <w:pPr>
        <w:pStyle w:val="FirstParagraph"/>
        <w:spacing w:after="120" w:line="312" w:lineRule="auto"/>
      </w:pPr>
      <w:r>
        <w:rPr>
          <w:rFonts w:ascii="DejaVu Serif" w:hAnsi="DejaVu Serif" w:eastAsia="Noto Serif CJK SC"/>
          <w:color w:val="000000"/>
          <w:sz w:val="22"/>
        </w:rPr>
        <w:t xml:space="preserve">Selectively establish a systematic knowledge structure with</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humanity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the starting point for each instance of thinking, and ensure its dynamism and openness.</w:t>
      </w:r>
    </w:p>
    <w:tbl>
      <w:tblPr>
        <w:tblStyle w:val="Table"/>
        <w:tblW w:type="pct" w:w="5012"/>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8"/>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Selectively establish a systematic knowledge structure with</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humanity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the starting point for each instance of thinking, and ensure its dynamism and openness.</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Sub-commentary: This Article establishes the principles for constructing a</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knowledge structure</w:t>
            </w:r>
            <w:r>
              <w:rPr>
                <w:rFonts w:ascii="DejaVu Serif" w:hAnsi="DejaVu Serif" w:eastAsia="Noto Sans CJK SC"/>
                <w:color w:val="000000"/>
                <w:sz w:val="19"/>
              </w:rPr>
              <w:t xml:space="preserve">”</w:t>
            </w:r>
            <w:r>
              <w:rPr>
                <w:rFonts w:ascii="DejaVu Serif" w:hAnsi="DejaVu Serif" w:eastAsia="Noto Sans CJK SC"/>
                <w:color w:val="000000"/>
                <w:sz w:val="19"/>
              </w:rPr>
              <w:t xml:space="preserve">—with</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humanity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the starting point of thought, systematic yet dynamic and open. To start with</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humanity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to attribute all cognition to human nature, the human heart, and human relationships (connecting with Article 45, [Ultimate Attribution to Persons], and Article 56, [Essence of Gratitude]).</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is cross-referenced with Article 53, [Daily Habits] (reading, writing, interdisciplinary learning), and serves as the framework for lifelong learning.</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Dynamic</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open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are the opposites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closed</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rigid,</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consistent with Article 109, [Growth Mindset].</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Articles 45, 52, 53, Article 109.</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75"/>
    <w:bookmarkStart w:id="76" w:name="Xd4cad5e6f994f8b99e710c930bd0fad9e1ec479"/>
    <w:p>
      <w:pPr>
        <w:pStyle w:val="Heading3"/>
        <w:spacing w:after="120" w:line="312" w:lineRule="auto"/>
        <w:jc w:val="left"/>
      </w:pPr>
      <w:r>
        <w:rPr>
          <w:rFonts w:ascii="DejaVu Serif" w:hAnsi="DejaVu Serif" w:eastAsia="Noto Serif CJK SC"/>
          <w:color w:val="000000"/>
          <w:sz w:val="26"/>
        </w:rPr>
        <w:t xml:space="preserve">Article 33 【The First Principle of Personal Values; the Principle of Maximum Self-Determination】</w:t>
      </w:r>
    </w:p>
    <w:p>
      <w:pPr>
        <w:pStyle w:val="FirstParagraph"/>
        <w:spacing w:after="120" w:line="312" w:lineRule="auto"/>
      </w:pPr>
      <w:r>
        <w:rPr>
          <w:rFonts w:ascii="DejaVu Serif" w:hAnsi="DejaVu Serif" w:eastAsia="Noto Serif CJK SC"/>
          <w:color w:val="000000"/>
          <w:sz w:val="22"/>
        </w:rPr>
        <w:t xml:space="preserve">On this Earth, besides myself, no one (including but not limited to parents, relatives, friends, authorities, experts, etc.) has the right to sermonize to me about what I should do. My own internal value system, along with the essence of all things, first-principles thinking, and the essence of human nature, are the ultimate basis and answer. If you wish to tell me something, then please provide information and ideas in the form of suggestions, and let me make the final decision based on my inner voice and values.</w:t>
      </w:r>
    </w:p>
    <w:tbl>
      <w:tblPr>
        <w:tblStyle w:val="Table"/>
        <w:tblW w:type="pct" w:w="5009"/>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4"/>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On this Earth, besides myself, no one (including but not limited to parents, relatives, friends, authorities, experts, etc.) has the right to sermonize to me about what I should do; my own internal value system, along with the essence of all things, first-principles thinking, and the essence of human nature, are the ultimate basis and answer. If you wish to tell me something, then please provide information and ideas in the form of suggestions, and let me make the final decision based on my inner voice and values.</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Sub-commentary: This Article, together with Articles 26 and 30, forms the apex of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Trilogy of Self-Determination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—establishing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First Principle of Personal Values.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Its meaning: no one has the right to</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sermonize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the individual’s internal values and essentialist thinking are the ultimate basis; others may only provide information in the form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suggestions.</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The distinction between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sermonizing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suggesting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the crux of this Article: a suggestor engages in equal exchange and offers reference material; a sermonizer imposes from a position of superiority and should be refused. This Article, together with Article 25, [Case-by-Case Basis], Article 35, [Equal Exchange], and Article 112, [Praise Priority], jointly constructs the philosophy of interaction for this life: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self-determined yet not arrogant.</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Articles 25, 26, 30, 35, Article 112.</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76"/>
    <w:bookmarkStart w:id="77" w:name="X15b6e4e3c4d399be310e87138fd369f2429eed6"/>
    <w:p>
      <w:pPr>
        <w:pStyle w:val="Heading3"/>
        <w:spacing w:after="120" w:line="312" w:lineRule="auto"/>
        <w:jc w:val="left"/>
      </w:pPr>
      <w:r>
        <w:rPr>
          <w:rFonts w:ascii="DejaVu Serif" w:hAnsi="DejaVu Serif" w:eastAsia="Noto Serif CJK SC"/>
          <w:color w:val="000000"/>
          <w:sz w:val="26"/>
        </w:rPr>
        <w:t xml:space="preserve">Article 34 【The Principle of Not Assuming, Under Non-Fully-Voluntary Conditions, Extra Liability Beyond the Minimum Feasible Responsibility for Others】</w:t>
      </w:r>
    </w:p>
    <w:p>
      <w:pPr>
        <w:pStyle w:val="FirstParagraph"/>
        <w:spacing w:after="120" w:line="312" w:lineRule="auto"/>
      </w:pPr>
      <w:r>
        <w:rPr>
          <w:rFonts w:ascii="DejaVu Serif" w:hAnsi="DejaVu Serif" w:eastAsia="Noto Serif CJK SC"/>
          <w:color w:val="000000"/>
          <w:sz w:val="22"/>
        </w:rPr>
        <w:t xml:space="preserve">At any time, under conditions where I am not fully willing, unless it is a statutory responsibility, or based on commercial relationships or written agreements, I am not obligated to solve any problems for any person.</w:t>
      </w:r>
    </w:p>
    <w:tbl>
      <w:tblPr>
        <w:tblStyle w:val="Table"/>
        <w:tblW w:type="pct" w:w="5015"/>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3"/>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At any time, under conditions where I am not fully willing, unless it is a statutory responsibility, or based on commercial relationships or written agreements, I am not obligated to solve any problems for any person.</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Principle of Voluntary Responsibility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—if not voluntary, then no assumption of extra responsibility; only statutory, commercial, and written agreements are exceptions. This connects with Article 84, [Provision of Invited Services] and Article 113, [Action Based on Willingness].</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draws the boundary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responsibility,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preventing moral coercion and unlimited demands. Together with Article 110, [Right to Exit from Unrecognized Concepts] and Article 114, [Screening Through Payment], it forms the law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self-boundaries.</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Articles 84, 85, Article 110, Article 113, Article 114.</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77"/>
    <w:bookmarkStart w:id="78" w:name="X06fa3653a8198fd55a9aa832c3d329ceb7497b8"/>
    <w:p>
      <w:pPr>
        <w:pStyle w:val="Heading3"/>
        <w:spacing w:after="120" w:line="312" w:lineRule="auto"/>
        <w:jc w:val="left"/>
      </w:pPr>
      <w:r>
        <w:rPr>
          <w:rFonts w:ascii="DejaVu Serif" w:hAnsi="DejaVu Serif" w:eastAsia="Noto Serif CJK SC"/>
          <w:color w:val="000000"/>
          <w:sz w:val="26"/>
        </w:rPr>
        <w:t xml:space="preserve">Article 35 【The Principle That All Matters Involve Equality of Personality and Exchange Based on Law and Contract】</w:t>
      </w:r>
    </w:p>
    <w:p>
      <w:pPr>
        <w:pStyle w:val="FirstParagraph"/>
        <w:spacing w:after="120" w:line="312" w:lineRule="auto"/>
      </w:pPr>
      <w:r>
        <w:rPr>
          <w:rFonts w:ascii="DejaVu Serif" w:hAnsi="DejaVu Serif" w:eastAsia="Noto Serif CJK SC"/>
          <w:color w:val="000000"/>
          <w:sz w:val="22"/>
        </w:rPr>
        <w:t xml:space="preserve">In any conversation with anyone at any time, the following principle must be considered: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All Things Are Equal Exchange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principle. Adopting a negotiation mindset, if agreement can be reached, proceed; if not, replace the other party as the negotiation counterpart or take the next step, without any need for emotional sentiment. For any interpersonal activity between humans, regardless of what the other party says, does, or what measures they take, treat it all as being based on currently effective laws, contracts, conditionalism, and exchanges based on human desires and interests alone.</w:t>
      </w:r>
    </w:p>
    <w:tbl>
      <w:tblPr>
        <w:tblStyle w:val="Table"/>
        <w:tblW w:type="pct" w:w="5008"/>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2"/>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any conversation with anyone at any time, the following principle must be considered: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All Things Are Equal Exchange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principle. Adopting a negotiation mindset, if agreement can be reached, proceed; if not, replace the other party as the negotiation counterpart or take the next step, without any need for emotional sentiment. For any interpersonal activity between humans, regardless of what the other party says, does, or what measures they take, treat it all as being based on currently effective laws, contracts, conditionalism, and exchanges based on human desires and interests alone.</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【Sub-commentary】 states: This Article establishes the principle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equal exchange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interpersonal activities—facing interpersonal activities with a</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negotiation mindset,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proceeding if agreement is reached, replacing if not, without mixing in emotions. This is in the same vein as Article 24’s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transactional essentialism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 is the method of this life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using reason to manage relationships.</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states: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Personality equality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interest exchange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are mentioned together: equality in personality (connected to Articles 44 and 99), and exchange in interests (connected to Articles 35 and 73).</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No need for emotional sentiment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does not mean being heartless, but rather not being enslaved by emotions, maintaining the freedom of rational choice.</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Articles 24, 44, 73, and 99.</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78"/>
    <w:bookmarkStart w:id="79" w:name="Xc6a9986bb18c1a0ca47ce67d02e4aa7768ee63e"/>
    <w:p>
      <w:pPr>
        <w:pStyle w:val="Heading3"/>
        <w:spacing w:after="120" w:line="312" w:lineRule="auto"/>
        <w:jc w:val="left"/>
      </w:pPr>
      <w:r>
        <w:rPr>
          <w:rFonts w:ascii="DejaVu Serif" w:hAnsi="DejaVu Serif" w:eastAsia="Noto Serif CJK SC"/>
          <w:color w:val="000000"/>
          <w:sz w:val="26"/>
        </w:rPr>
        <w:t xml:space="preserve">Article 36 【Mandatory Requirements Concerning Marriage and the Counterparty to Marriage】</w:t>
      </w:r>
    </w:p>
    <w:p>
      <w:pPr>
        <w:pStyle w:val="FirstParagraph"/>
        <w:spacing w:after="120" w:line="312" w:lineRule="auto"/>
      </w:pPr>
      <w:r>
        <w:rPr>
          <w:rFonts w:ascii="DejaVu Serif" w:hAnsi="DejaVu Serif" w:eastAsia="Noto Serif CJK SC"/>
          <w:color w:val="000000"/>
          <w:sz w:val="22"/>
        </w:rPr>
        <w:t xml:space="preserve">Hold an attitude toward marriage that one may or may not marry, but with one principle: marriage must absolutely not interfere with the lifestyle chosen by myself as described in the preceding Article, and must not control, interfere with, cut off, or compel me to change the aforementioned lifestyle. No property may be distributed other than the minimum feasible property stipulated by law and property to which I have consented.</w:t>
      </w:r>
    </w:p>
    <w:tbl>
      <w:tblPr>
        <w:tblStyle w:val="Table"/>
        <w:tblW w:type="pct" w:w="5010"/>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6"/>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Hold an attitude toward marriage that one may or may not marry, but with one principle: marriage must absolutely not interfere with the lifestyle chosen by myself as described in the preceding Article, and must not control, interfere with, cut off, or compel me to change the aforementioned lifestyle. No property may be distributed other than the minimum feasible property stipulated by law and property to which I have consented.</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【Sub-commentary】 states: 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constitutional conditions of marriage</w:t>
            </w:r>
            <w:r>
              <w:rPr>
                <w:rFonts w:ascii="DejaVu Serif" w:hAnsi="DejaVu Serif" w:eastAsia="Noto Sans CJK SC"/>
                <w:color w:val="000000"/>
                <w:sz w:val="19"/>
              </w:rPr>
              <w:t xml:space="preserve">”</w:t>
            </w:r>
            <w:r>
              <w:rPr>
                <w:rFonts w:ascii="DejaVu Serif" w:hAnsi="DejaVu Serif" w:eastAsia="Noto Sans CJK SC"/>
                <w:color w:val="000000"/>
                <w:sz w:val="19"/>
              </w:rPr>
              <w:t xml:space="preserve">—marriage must not interfere with my lifestyle (traveling, investing in startups, freedom and independence), and must not control my property. This is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non-infringement principle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marriage.</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states: This Article, together with Article 37 【If Not Compliant, Live Separately】, Article 104 【Essence of Marriage】, and Article 105 【Order of Aspirations】, collectively forms my view of marriage: marriage is not necessary and must be subordinate to the fundamental freedom of this life. This echoes Annex A.04.001’s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Do Not Conclude a Legal Marriage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principle (that principle is a</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principle,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with exceptions detailed in that Annex).</w:t>
            </w:r>
          </w:p>
        </w:tc>
      </w:tr>
      <w:tr>
        <w:tc>
          <w:tcPr/>
          <w:p>
            <w:pPr>
              <w:pStyle w:val="Compact"/>
              <w:spacing w:after="40" w:line="288" w:lineRule="auto"/>
              <w:jc w:val="left"/>
            </w:pPr>
            <w:r>
              <w:rPr>
                <w:rFonts w:ascii="DejaVu Serif" w:hAnsi="DejaVu Serif" w:eastAsia="Noto Sans CJK SC"/>
                <w:b/>
                <w:bCs/>
                <w:color w:val="C00000"/>
                <w:sz w:val="19"/>
              </w:rPr>
              <w:t xml:space="preserve">【Legislative History】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This Article is cross-referenced with the provisions regarding boyfriend-girlfriend relationships in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Amendment 20240609</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(Articles 121 to 123), see Part II for details.</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Articles 36, 37, 104, 105, Annex A.04.001, Amendment 20240609.</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79"/>
    <w:bookmarkStart w:id="80" w:name="Xf492bad0c079572cb56daedca830ca6b5c5cc20"/>
    <w:p>
      <w:pPr>
        <w:pStyle w:val="Heading3"/>
        <w:spacing w:after="120" w:line="312" w:lineRule="auto"/>
        <w:jc w:val="left"/>
      </w:pPr>
      <w:r>
        <w:rPr>
          <w:rFonts w:ascii="DejaVu Serif" w:hAnsi="DejaVu Serif" w:eastAsia="Noto Serif CJK SC"/>
          <w:color w:val="000000"/>
          <w:sz w:val="26"/>
        </w:rPr>
        <w:t xml:space="preserve">Article 37 【Handling of a Marriage Counterparty Who Fails to Meet the Mandatory Requirements】</w:t>
      </w:r>
    </w:p>
    <w:p>
      <w:pPr>
        <w:pStyle w:val="FirstParagraph"/>
        <w:spacing w:after="120" w:line="312" w:lineRule="auto"/>
      </w:pPr>
      <w:r>
        <w:rPr>
          <w:rFonts w:ascii="DejaVu Serif" w:hAnsi="DejaVu Serif" w:eastAsia="Noto Serif CJK SC"/>
          <w:color w:val="000000"/>
          <w:sz w:val="22"/>
        </w:rPr>
        <w:t xml:space="preserve">If the aforementioned conditions cannot be met, I intend to live by myself and will absolutely not enter into any marriage or form any family.</w:t>
      </w:r>
    </w:p>
    <w:tbl>
      <w:tblPr>
        <w:tblStyle w:val="Table"/>
        <w:tblW w:type="pct" w:w="5017"/>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6"/>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If the aforementioned conditions cannot be met, I intend to live by myself and will absolutely not enter into any marriage or form any family.</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【Sub-commentary】 states: This Article follows the previous one, clarifying the resolute stance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prefer living alone over compromising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—if the other party does not meet the conditions, it is better to remain single than to reluctantly enter into marriage.</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states: This Article demonstrates the value orientation of this life: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freedom above form.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Marriage and family are optional items, not mandatory ones. It mutually supports the five core lifestyle principles of Annex A.04.001,</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Do Not Conclude a Legal Marriage.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Articles 36, 104, 105, Annex A.04.001.</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80"/>
    <w:bookmarkStart w:id="81" w:name="X38d4afecca669e31147e5d54806baf5797cef7d"/>
    <w:p>
      <w:pPr>
        <w:pStyle w:val="Heading3"/>
        <w:spacing w:after="120" w:line="312" w:lineRule="auto"/>
        <w:jc w:val="left"/>
      </w:pPr>
      <w:r>
        <w:rPr>
          <w:rFonts w:ascii="DejaVu Serif" w:hAnsi="DejaVu Serif" w:eastAsia="Noto Serif CJK SC"/>
          <w:color w:val="000000"/>
          <w:sz w:val="26"/>
        </w:rPr>
        <w:t xml:space="preserve">Article 38 【The Need for a Sense of Control over Specific Life Situations】</w:t>
      </w:r>
    </w:p>
    <w:p>
      <w:pPr>
        <w:pStyle w:val="FirstParagraph"/>
        <w:spacing w:after="120" w:line="312" w:lineRule="auto"/>
      </w:pPr>
      <w:r>
        <w:rPr>
          <w:rFonts w:ascii="DejaVu Serif" w:hAnsi="DejaVu Serif" w:eastAsia="Noto Serif CJK SC"/>
          <w:color w:val="000000"/>
          <w:sz w:val="22"/>
        </w:rPr>
        <w:t xml:space="preserve">My need for a sense of control over myself and specific parts of life scenarios that I need to be involved in is particularly strong.</w:t>
      </w:r>
    </w:p>
    <w:tbl>
      <w:tblPr>
        <w:tblStyle w:val="Table"/>
        <w:tblW w:type="pct" w:w="5014"/>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2"/>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My need for a sense of control over myself and specific parts of life scenarios that I need to be involved in is particularly strong.</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states: This Article declares my strong need for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life control,</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which is the psychological root of many controlling and boundary-setting clauses.</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states: The need for control points to dominance over one’s own time, space, relationships, and assets. This, together with Article 8-3 (financial red lines), Article 22 (autonomy in travel and residence), and Article 39 (choice of associates), collectively forms the psychological foundation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autonomous living.</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Articles 22, 39, 47, Annex A.04.001.</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81"/>
    <w:bookmarkStart w:id="82" w:name="X6735d522f206ed154df18a80e8fa1ab42cfa769"/>
    <w:p>
      <w:pPr>
        <w:pStyle w:val="Heading3"/>
        <w:spacing w:after="120" w:line="312" w:lineRule="auto"/>
        <w:jc w:val="left"/>
      </w:pPr>
      <w:r>
        <w:rPr>
          <w:rFonts w:ascii="DejaVu Serif" w:hAnsi="DejaVu Serif" w:eastAsia="Noto Serif CJK SC"/>
          <w:color w:val="000000"/>
          <w:sz w:val="26"/>
        </w:rPr>
        <w:t xml:space="preserve">Article 39 【The Principle of Not Associating or Negotiating with a Counterparty Who Consumes Alcoholic Beverages】</w:t>
      </w:r>
    </w:p>
    <w:p>
      <w:pPr>
        <w:pStyle w:val="FirstParagraph"/>
        <w:spacing w:after="120" w:line="312" w:lineRule="auto"/>
      </w:pPr>
      <w:r>
        <w:rPr>
          <w:rFonts w:ascii="DejaVu Serif" w:hAnsi="DejaVu Serif" w:eastAsia="Noto Serif CJK SC"/>
          <w:color w:val="000000"/>
          <w:sz w:val="22"/>
        </w:rPr>
        <w:t xml:space="preserve">In business negotiations between myself and other counterparties, the beverages consumed must be non-alcoholic beverages such as tea or coffee. I shall, in principle, refuse to engage in any交往 or any kind of negotiation involving any subject matter with persons who smoke or drink, regardless of what leverage the other party holds or how urgent my own needs may be.</w:t>
      </w:r>
    </w:p>
    <w:tbl>
      <w:tblPr>
        <w:tblStyle w:val="Table"/>
        <w:tblW w:type="pct" w:w="5013"/>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0"/>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business negotiations between myself and other counterparties, the beverages consumed must be non-alcoholic beverages such as tea or coffee. I shall, in principle, refuse to engage in any交往 or any kind of negotiation involving any subject matter with persons who smoke or drink, regardless of what leverage the other party holds or how urgent my own needs may be.</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【Discussion】This Article establishes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fastidiousness in choosing associates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—negotiations must use tea and coffee in place of alcohol, and in principle, no交往 or negotiation shall be conducted with smokers and drinkers. This principle remains unshaken regardless of the other party’s leverage or my own pressing needs.</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【Discussion】The severity of this Article lies in the word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principle</w:t>
            </w:r>
            <w:r>
              <w:rPr>
                <w:rFonts w:ascii="DejaVu Serif" w:hAnsi="DejaVu Serif" w:eastAsia="Noto Sans CJK SC"/>
                <w:color w:val="000000"/>
                <w:sz w:val="19"/>
              </w:rPr>
              <w:t xml:space="preserve">”</w:t>
            </w:r>
            <w:r>
              <w:rPr>
                <w:rFonts w:ascii="DejaVu Serif" w:hAnsi="DejaVu Serif" w:eastAsia="Noto Sans CJK SC"/>
                <w:color w:val="000000"/>
                <w:sz w:val="19"/>
              </w:rPr>
              <w:t xml:space="preserve">—it exchanges self-discipline in lifestyle for clarity of mind and purity of association, and is consistent with Article 115 【Principle of Independence】.</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39, Article 115, Article 116.</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82"/>
    <w:bookmarkStart w:id="83" w:name="Xd26edaacbb3bb650ea2501a1568430ab7cfcdec"/>
    <w:p>
      <w:pPr>
        <w:pStyle w:val="Heading3"/>
        <w:spacing w:after="120" w:line="312" w:lineRule="auto"/>
        <w:jc w:val="left"/>
      </w:pPr>
      <w:r>
        <w:rPr>
          <w:rFonts w:ascii="DejaVu Serif" w:hAnsi="DejaVu Serif" w:eastAsia="Noto Serif CJK SC"/>
          <w:color w:val="000000"/>
          <w:sz w:val="26"/>
        </w:rPr>
        <w:t xml:space="preserve">Article 40 【Exemptions from the Principle of Not Associating or Negotiating with a Counterparty Who Consumes Alcoholic Beverages】</w:t>
      </w:r>
    </w:p>
    <w:p>
      <w:pPr>
        <w:pStyle w:val="FirstParagraph"/>
        <w:spacing w:after="120" w:line="312" w:lineRule="auto"/>
      </w:pPr>
      <w:r>
        <w:rPr>
          <w:rFonts w:ascii="DejaVu Serif" w:hAnsi="DejaVu Serif" w:eastAsia="Noto Serif CJK SC"/>
          <w:color w:val="000000"/>
          <w:sz w:val="22"/>
        </w:rPr>
        <w:t xml:space="preserve">However, the following exceptions shall apply: (1) The aforementioned person is a good-faith counterparty who does not impose unreasonable demands, and does not require me to drink alcohol or smoke through violence, coercion, or similar coercive methods or means. (2) Situations where my life, person, or health faces serious and realistic threats from myself or external sources.</w:t>
      </w:r>
    </w:p>
    <w:tbl>
      <w:tblPr>
        <w:tblStyle w:val="Table"/>
        <w:tblW w:type="pct" w:w="5013"/>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9"/>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However, the following exceptions shall apply: (1) The aforementioned person is a good-faith counterparty who does not impose unreasonable demands, and does not require me to drink alcohol or smoke through violence, coercion, or similar coercive methods or means; (2) Situations where my life, person, or health faces serious and realistic threats from myself or external sources.</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【Discussion】This Article establishes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dual exceptions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for the preceding Article—those who are good-faith and non-coercive, and those whose life or health is in danger. It shows that within the principle there is flexibility, and within the flexibility there is measure.</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【Discussion】Item (1) emphasizes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good faith</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non-coercion,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while item (2) emphasizes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danger to life and health.</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Both reflect the wisdom of this life’s approach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principles first, with measured flexibility.</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39, Article 49.</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83"/>
    <w:bookmarkStart w:id="84" w:name="article-41-the-ultimate-essence-of-death"/>
    <w:p>
      <w:pPr>
        <w:pStyle w:val="Heading3"/>
        <w:spacing w:after="120" w:line="312" w:lineRule="auto"/>
        <w:jc w:val="left"/>
      </w:pPr>
      <w:r>
        <w:rPr>
          <w:rFonts w:ascii="DejaVu Serif" w:hAnsi="DejaVu Serif" w:eastAsia="Noto Serif CJK SC"/>
          <w:color w:val="000000"/>
          <w:sz w:val="26"/>
        </w:rPr>
        <w:t xml:space="preserve">Article 41 【The Ultimate Essence of Death】</w:t>
      </w:r>
    </w:p>
    <w:p>
      <w:pPr>
        <w:pStyle w:val="FirstParagraph"/>
        <w:spacing w:after="120" w:line="312" w:lineRule="auto"/>
      </w:pPr>
      <w:r>
        <w:rPr>
          <w:rFonts w:ascii="DejaVu Serif" w:hAnsi="DejaVu Serif" w:eastAsia="Noto Serif CJK SC"/>
          <w:color w:val="000000"/>
          <w:sz w:val="22"/>
        </w:rPr>
        <w:t xml:space="preserve">Because the ultimate essence of death is the physiological state in which the bearer of the state of death (the deceased person) no longer continues to exist on Earth and is unable to continue to exert influence on the people, matters, and objects on Earth.</w:t>
      </w:r>
    </w:p>
    <w:tbl>
      <w:tblPr>
        <w:tblStyle w:val="Table"/>
        <w:tblW w:type="pct" w:w="5017"/>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6"/>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Because the ultimate essence of death is the physiological state in which the bearer of the state of death (the deceased person) no longer continues to exist on Earth and is unable to continue to exert influence on the people, matters, and objects on Earth.</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【Discussion】This Article, from an essentialist perspective, defines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death</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the state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no longer existing and being unable to exert influence,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establishing a cognitive foundation for the subsequent Articles (fear of death, inheritance, bequests).</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【Discussion】By clarifying the essence of death, one understands that the essence of life lies in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exerting influence and fulfilling one’s wishes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(consistent with Article 42), which is the psychological origin of the concepts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long-termism,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inheritance,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financial ark.</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42, Article 106 【Wills and Bequests】, Article 21.</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84"/>
    <w:bookmarkStart w:id="85" w:name="X2d3dcc11e95bc49220791c2c71bd6b0b5c46593"/>
    <w:p>
      <w:pPr>
        <w:pStyle w:val="Heading3"/>
        <w:spacing w:after="120" w:line="312" w:lineRule="auto"/>
        <w:jc w:val="left"/>
      </w:pPr>
      <w:r>
        <w:rPr>
          <w:rFonts w:ascii="DejaVu Serif" w:hAnsi="DejaVu Serif" w:eastAsia="Noto Serif CJK SC"/>
          <w:color w:val="000000"/>
          <w:sz w:val="26"/>
        </w:rPr>
        <w:t xml:space="preserve">Article 42 【The Essence of the Fear of Death】</w:t>
      </w:r>
    </w:p>
    <w:p>
      <w:pPr>
        <w:pStyle w:val="FirstParagraph"/>
        <w:spacing w:after="120" w:line="312" w:lineRule="auto"/>
      </w:pPr>
      <w:r>
        <w:rPr>
          <w:rFonts w:ascii="DejaVu Serif" w:hAnsi="DejaVu Serif" w:eastAsia="Noto Serif CJK SC"/>
          <w:color w:val="000000"/>
          <w:sz w:val="22"/>
        </w:rPr>
        <w:t xml:space="preserve">People who fear death, in essence, fear that the things they want to do will not be completed before they no longer continue to exist on Earth and are unable to continue to exert influence on the people, matters, and objects on Earth to fulfill all their major wishes, both physically and mentally.</w:t>
      </w:r>
    </w:p>
    <w:tbl>
      <w:tblPr>
        <w:tblStyle w:val="Table"/>
        <w:tblW w:type="pct" w:w="5016"/>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5"/>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People who fear death, in essence, fear that the things they want to do will not be completed before they no longer continue to exist on Earth and are unable to continue to exert influence on the people, matters, and objects on Earth to fulfill all their major wishes, both physically and mentally.</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【Discussion】This Article analyzes the essence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fear of death</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fear of unfulfilled wishes,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showing that this life’s method of overcoming fear is to</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complete tasks and realize wishes.</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【Discussion】Building upon Article 41, this Article transforms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fear of death</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into</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motivation for action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clearer the wishes, the lighter the fear. This is consistent with the spirit of Article 100</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continuously benefiting others, continuously acting.</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41, Article 1-2, Article 62 【Life’s Macro Periods】.</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85"/>
    <w:bookmarkStart w:id="86" w:name="X336086944c61158ab323c3581ce0c34c9bfdb45"/>
    <w:p>
      <w:pPr>
        <w:pStyle w:val="Heading3"/>
        <w:spacing w:after="120" w:line="312" w:lineRule="auto"/>
        <w:jc w:val="left"/>
      </w:pPr>
      <w:r>
        <w:rPr>
          <w:rFonts w:ascii="DejaVu Serif" w:hAnsi="DejaVu Serif" w:eastAsia="Noto Serif CJK SC"/>
          <w:color w:val="000000"/>
          <w:sz w:val="26"/>
        </w:rPr>
        <w:t xml:space="preserve">Article 43 【Construction of a Worldview from the Perspective of the Cosmic Citizen and the Cosmic-Civilization Community with a Shared Future】</w:t>
      </w:r>
    </w:p>
    <w:p>
      <w:pPr>
        <w:pStyle w:val="FirstParagraph"/>
        <w:spacing w:after="120" w:line="312" w:lineRule="auto"/>
      </w:pPr>
      <w:r>
        <w:rPr>
          <w:rFonts w:ascii="DejaVu Serif" w:hAnsi="DejaVu Serif" w:eastAsia="Noto Serif CJK SC"/>
          <w:color w:val="000000"/>
          <w:sz w:val="22"/>
        </w:rPr>
        <w:t xml:space="preserve">All activities in this world revolve around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people,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the people engaged in various activities form layer upon layer of circles, specifically including political circle people (scholar-officials), economic circle people (scholar-officials), cultural circle people (scholar-officials), technological circle people (scholar-officials), specifically including: (1) Philosophical people (scholar-officials)</w:t>
      </w:r>
    </w:p>
    <w:p>
      <w:pPr>
        <w:pStyle w:val="Compact"/>
        <w:numPr>
          <w:ilvl w:val="0"/>
          <w:numId w:val="1014"/>
        </w:numPr>
        <w:spacing w:after="120" w:line="312" w:lineRule="auto"/>
      </w:pPr>
      <w:r>
        <w:rPr>
          <w:rFonts w:ascii="DejaVu Serif" w:hAnsi="DejaVu Serif" w:eastAsia="Noto Serif CJK SC"/>
          <w:color w:val="000000"/>
          <w:sz w:val="22"/>
        </w:rPr>
        <w:t xml:space="preserve">Economic persons (scholars), (3) Legal persons (scholars), (4) Educational persons (scholars) [educational sector professionals], (5) Language and Literature persons (scholars) [language and literature sector professionals], (6) Historical persons (scholars) [historical sector professionals], (7) Science persons (scholars) [science sector professionals], (8) Engineering persons (scholars)/ Engineering Technology persons (scholars), (9) Agricultural Science persons (scholars), (10) Medical persons (scholars), (11) Military persons (scholars) [military sector professionals], (12) Management persons (scholars) [business activities sector professionals], (13) Art persons (scholars) [art sector professionals], (14) Interdisciplinary persons (scholars) [cross-sector professionals], (15) Disciplinary Innovation persons (scholars) [disciplinary founders])</w:t>
      </w:r>
    </w:p>
    <w:p>
      <w:pPr>
        <w:pStyle w:val="FirstParagraph"/>
        <w:spacing w:after="120" w:line="312" w:lineRule="auto"/>
      </w:pPr>
      <w:r>
        <w:rPr>
          <w:rFonts w:ascii="DejaVu Serif" w:hAnsi="DejaVu Serif" w:eastAsia="Noto Serif CJK SC"/>
          <w:color w:val="000000"/>
          <w:sz w:val="22"/>
        </w:rPr>
        <w:t xml:space="preserve">All analysis of any activities is conducted from the dimension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person,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with specific analytical dimensions as follows: Paragraph 1. Person: Item 1. The common dreams of the individual and human society; Item 2. The consensus and aspirations of the individual and human society (or a portion thereof); Item 3. Personal mission, vision, and values; Item 4. Personal dreams and ideals; Item 5. Personal planning; Item 6. Personal knowledge structure and the disciplinary principles mastered (principled, pattern-based thinking models for planning and reference); Item 7. Personal methodology system (techniques, methods, processes, steps, evaluation dimensions, judgment criteria, etc.); Item 8. Tools owned and that can be integrated by the individual (human, financial, material and other tangible and intangible resources); Item 9. Personal mentality and state of mind; Item 10. Personal execution capability, strength of action motivation, etc.; Item 11. Action result feedback; Item 12. Ideal reflection and subjective feelings on the above 11 items. Paragraph 2. External Things: Item 1. Others besides oneself (as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tool persons,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human resources, etc.); Item 2. Property (currency, various assets, various proprietary rights); Item 3. Things (various tangible and intangible items): ①. Events and the individual’s response thereto (Person A and Person B, at xx time, xx location, in xx manner, based on xx purpose, did xx, xx, xx, xx, xx affairs, obtaining xx result feedback); Item 4. Resources: ①. Including tangible resources; ②. Intangible assets: a. Personal attention; b. High-quality energy; c. Time; d. IPRs; e. Sociality; f. Political rights; g. Proprietary property rights, etc.</w:t>
      </w:r>
    </w:p>
    <w:tbl>
      <w:tblPr>
        <w:tblStyle w:val="Table"/>
        <w:tblW w:type="pct" w:w="5008"/>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2"/>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All activities in this world revolve around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persons,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 the persons engaged in various activities form one circle after another, specifically including political circle persons (scholars), economic circle persons (scholars), cultural circle persons (scholars), and technological circle persons (scholars), specifically including: (1) Philosophy persons (scholars)… (in over ten categories, including economics, law, education, language and literature, history, science, engineering, agricultural science, medicine, military, management, art, interdisciplinary professionals, etc.; the full text shall be taken as the authentic text).</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It is discussed: This Article, using</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circles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its framework, constructs the worldview of this life—that the world is composed of various circles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persons (scholars),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 I move among them. This is the concrete manifestation of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cosmic citizen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perspective.</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It is discussed: Taking</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person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the pivot of the world is consistent in spirit with Article 32</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taking person as the starting point of thought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 Article 44</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all is done by persons.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This Article is my cognitive map for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cross-sector, cross-circle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interaction and endeavors.</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7, Article 32, Article 44, Article 52.</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86"/>
    <w:bookmarkStart w:id="87" w:name="X6869a22cef4c8f2f6df7acdccf0fad4f58e518a"/>
    <w:p>
      <w:pPr>
        <w:pStyle w:val="Heading3"/>
        <w:spacing w:after="120" w:line="312" w:lineRule="auto"/>
        <w:jc w:val="left"/>
      </w:pPr>
      <w:r>
        <w:rPr>
          <w:rFonts w:ascii="DejaVu Serif" w:hAnsi="DejaVu Serif" w:eastAsia="Noto Serif CJK SC"/>
          <w:color w:val="000000"/>
          <w:sz w:val="26"/>
        </w:rPr>
        <w:t xml:space="preserve">Article 44 【The Sameness of Human Personality in Essence and the Difference of Division of Labor, and Their Consideration】</w:t>
      </w:r>
    </w:p>
    <w:p>
      <w:pPr>
        <w:pStyle w:val="FirstParagraph"/>
        <w:spacing w:after="120" w:line="312" w:lineRule="auto"/>
      </w:pPr>
      <w:r>
        <w:rPr>
          <w:rFonts w:ascii="DejaVu Serif" w:hAnsi="DejaVu Serif" w:eastAsia="Noto Serif CJK SC"/>
          <w:color w:val="000000"/>
          <w:sz w:val="22"/>
        </w:rPr>
        <w:t xml:space="preserve">All activities of human society are carried out by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persons (natural persons),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regardless of their status or any labels attached to them; however, in terms of their social value, different divisions of labor and statuses correspond to different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social stereotyped prices/values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(e.g., entrepreneurs have higher social compensation, while drivers, nurses, etc. have lower social compensation); and the most fundamental difference among persons of different statuses lies in the differences in their thinking patterns (ideologies), which lead to differences in behavior patterns, life models, and life choices, thereby causing fundamental differences in life (differences)—those who change their thinking patterns will ultimately change their lives.</w:t>
      </w:r>
    </w:p>
    <w:tbl>
      <w:tblPr>
        <w:tblStyle w:val="Table"/>
        <w:tblW w:type="pct" w:w="5007"/>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0"/>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All activities in human society are performed by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persons (natural persons),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regardless of their status or any labels attached to them; however, in terms of their social value, different divisions of labor and statuses correspond to different</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social stereotyped prices/values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(for example, entrepreneurs have a higher social counterpart value, while drivers, nurses, etc. have a lower social counterpart value); and the most fundamental difference among people of different statuses lies in the difference in their thinking patterns (ideologies), which leads to differences in behavior patterns, lifestyles, and life choices, resulting in fundamental differences in life—those who change their thinking patterns will ultimately change their lives.</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duality of human beings</w:t>
            </w:r>
            <w:r>
              <w:rPr>
                <w:rFonts w:ascii="DejaVu Serif" w:hAnsi="DejaVu Serif" w:eastAsia="Noto Sans CJK SC"/>
                <w:color w:val="000000"/>
                <w:sz w:val="19"/>
              </w:rPr>
              <w:t xml:space="preserve">”</w:t>
            </w:r>
            <w:r>
              <w:rPr>
                <w:rFonts w:ascii="DejaVu Serif" w:hAnsi="DejaVu Serif" w:eastAsia="Noto Sans CJK SC"/>
                <w:color w:val="000000"/>
                <w:sz w:val="19"/>
              </w:rPr>
              <w:t xml:space="preserve">—equal personality, different divisions of labor. In terms of personality, all people are equal; in terms of social counterpart value, they differ due to division of labor; and what determines the fundamental differences in life is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thinking pattern.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This is the philosophical basis for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growth mindset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109).</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The essence of this Article lies in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changing one’s thinking pattern changes one’s life</w:t>
            </w:r>
            <w:r>
              <w:rPr>
                <w:rFonts w:ascii="DejaVu Serif" w:hAnsi="DejaVu Serif" w:eastAsia="Noto Sans CJK SC"/>
                <w:color w:val="000000"/>
                <w:sz w:val="19"/>
              </w:rPr>
              <w:t xml:space="preserve">”</w:t>
            </w:r>
            <w:r>
              <w:rPr>
                <w:rFonts w:ascii="DejaVu Serif" w:hAnsi="DejaVu Serif" w:eastAsia="Noto Sans CJK SC"/>
                <w:color w:val="000000"/>
                <w:sz w:val="19"/>
              </w:rPr>
              <w:t xml:space="preserve">—it gives people hope for change and connects with Article 108 【Bug Iteration】 and Article 109 【Growth Mindset】. All statements regarding occupational counterpart value are objective descriptions and do not imply any disparagement of any industry (to be read together with Article 99 【Treat Others with Equal Attitude】).</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99, Article 108, Article 109, Article 115.</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87"/>
    <w:bookmarkStart w:id="88" w:name="X76dac487e0a05510f9fe8762fbeef2b454891b5"/>
    <w:p>
      <w:pPr>
        <w:pStyle w:val="Heading3"/>
        <w:spacing w:after="120" w:line="312" w:lineRule="auto"/>
        <w:jc w:val="left"/>
      </w:pPr>
      <w:r>
        <w:rPr>
          <w:rFonts w:ascii="DejaVu Serif" w:hAnsi="DejaVu Serif" w:eastAsia="Noto Serif CJK SC"/>
          <w:color w:val="000000"/>
          <w:sz w:val="26"/>
        </w:rPr>
        <w:t xml:space="preserve">Article 45 【The Final Principle of Attribution to the Person】</w:t>
      </w:r>
    </w:p>
    <w:p>
      <w:pPr>
        <w:pStyle w:val="FirstParagraph"/>
        <w:spacing w:after="120" w:line="312" w:lineRule="auto"/>
      </w:pPr>
      <w:r>
        <w:rPr>
          <w:rFonts w:ascii="DejaVu Serif" w:hAnsi="DejaVu Serif" w:eastAsia="Noto Serif CJK SC"/>
          <w:color w:val="000000"/>
          <w:sz w:val="22"/>
        </w:rPr>
        <w:t xml:space="preserve">In my analysis of the causes of any event, the ultimate attribution should be to the dimensions of people, human hearts, and interests; otherwise, it is a non-essential cause that requires further questioning.</w:t>
      </w:r>
    </w:p>
    <w:tbl>
      <w:tblPr>
        <w:tblStyle w:val="Table"/>
        <w:tblW w:type="pct" w:w="5018"/>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7"/>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my analysis of the causes of any event, the ultimate attribution should be to the dimensions of people, human hearts, and interests; otherwise, it is a non-essential cause that requires further questioning.</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establishes the methodology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attribution to persons</w:t>
            </w:r>
            <w:r>
              <w:rPr>
                <w:rFonts w:ascii="DejaVu Serif" w:hAnsi="DejaVu Serif" w:eastAsia="Noto Sans CJK SC"/>
                <w:color w:val="000000"/>
                <w:sz w:val="19"/>
              </w:rPr>
              <w:t xml:space="preserve">”</w:t>
            </w:r>
            <w:r>
              <w:rPr>
                <w:rFonts w:ascii="DejaVu Serif" w:hAnsi="DejaVu Serif" w:eastAsia="Noto Sans CJK SC"/>
                <w:color w:val="000000"/>
                <w:sz w:val="19"/>
              </w:rPr>
              <w:t xml:space="preserve">—when analyzing causes, one must trace to</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people, human hearts, and interests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to find the essence; otherwise, continue to question. This is the operational rule of essentialism.</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connects with Article 32 【Starting from People】, Article 60 【Essence of Reincarnation】, and Article 119 【Reviewing to First-Order Essence】, and is my method for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seeing through the essence.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32, Article 60, Article 119.</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88"/>
    <w:bookmarkStart w:id="89" w:name="article-46-on-credit-and-counter-credit"/>
    <w:p>
      <w:pPr>
        <w:pStyle w:val="Heading3"/>
        <w:spacing w:after="120" w:line="312" w:lineRule="auto"/>
        <w:jc w:val="left"/>
      </w:pPr>
      <w:r>
        <w:rPr>
          <w:rFonts w:ascii="DejaVu Serif" w:hAnsi="DejaVu Serif" w:eastAsia="Noto Serif CJK SC"/>
          <w:color w:val="000000"/>
          <w:sz w:val="26"/>
        </w:rPr>
        <w:t xml:space="preserve">Article 46 【On Credit and Counter-Credit】</w:t>
      </w:r>
    </w:p>
    <w:p>
      <w:pPr>
        <w:pStyle w:val="FirstParagraph"/>
        <w:spacing w:after="120" w:line="312" w:lineRule="auto"/>
      </w:pPr>
      <w:r>
        <w:rPr>
          <w:rFonts w:ascii="DejaVu Serif" w:hAnsi="DejaVu Serif" w:eastAsia="Noto Serif CJK SC"/>
          <w:color w:val="000000"/>
          <w:sz w:val="22"/>
        </w:rPr>
        <w:t xml:space="preserve">Because the leaders of any organization in any country or region on Earth are essentially human beings, even so-called heads of state themselves, as long as they are human, at any moment, they may be in a state of telling the truth (honesty and good faith) or telling lies (deception); therefore, so-called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nations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do not actually exist in the physical world, but are only objects existing in human concepts and inner emotions; they, at any moment, may also be in a state of telling the truth (honesty and good faith) or telling lies (deception); therefore, at all times, one should (to the maximum extent in principle) be unconditionally confident in oneself, but conduct dialectical reverse review and cautiously trust any other counterpart on the basis of principle-based trust in them, but also subjectively do not completely disbelieve in principle, and ultimately rely on criminal law (upper limit), policies, and actual circumstances.</w:t>
      </w:r>
    </w:p>
    <w:tbl>
      <w:tblPr>
        <w:tblStyle w:val="Table"/>
        <w:tblW w:type="pct" w:w="5006"/>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9"/>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Because the leaders of any organization in any country or region on Earth are essentially human beings… as long as they are human, at any moment, they may be in a state of telling the truth (honesty and good faith) or telling lies (deception); therefore, so-called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nations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do not actually exist in the physical world, but are only objects existing in human concepts and inner emotions… therefore, at all times, one should (to the maximum extent in principle) be unconditionally confident in oneself, but conduct dialectical reverse review and cautiously trust any other counterpart on the basis of principle-based trust in them, but also subjectively do not completely disbelieve in principle, and ultimately rely on criminal law (upper limit), policies, and actual circumstances.</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establishes the dialectic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credit and anti-credit</w:t>
            </w:r>
            <w:r>
              <w:rPr>
                <w:rFonts w:ascii="DejaVu Serif" w:hAnsi="DejaVu Serif" w:eastAsia="Noto Sans CJK SC"/>
                <w:color w:val="000000"/>
                <w:sz w:val="19"/>
              </w:rPr>
              <w:t xml:space="preserve">”</w:t>
            </w:r>
            <w:r>
              <w:rPr>
                <w:rFonts w:ascii="DejaVu Serif" w:hAnsi="DejaVu Serif" w:eastAsia="Noto Sans CJK SC"/>
                <w:color w:val="000000"/>
                <w:sz w:val="19"/>
              </w:rPr>
              <w:t xml:space="preserve">—unconditional self-confidence, 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trust then review</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for others. Neither complete trust nor complete doubt, but rely on facts and law.</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Dialectical reverse review</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the method of interaction: trust first, then review; neither be easily deceived nor be overly suspicious. The statement</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nations are conceptual things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echoes with Article 7 and Article 93 【Essence of Patriotism】, jointly constructing my worldview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dispelling illusions and focusing on substance.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7, Article 40, Article 75, Article 93.</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89"/>
    <w:bookmarkStart w:id="90" w:name="X3b246fa756fcda3c16af75abaaf4bdfe4c511ea"/>
    <w:p>
      <w:pPr>
        <w:pStyle w:val="Heading3"/>
        <w:spacing w:after="120" w:line="312" w:lineRule="auto"/>
        <w:jc w:val="left"/>
      </w:pPr>
      <w:r>
        <w:rPr>
          <w:rFonts w:ascii="DejaVu Serif" w:hAnsi="DejaVu Serif" w:eastAsia="Noto Serif CJK SC"/>
          <w:color w:val="000000"/>
          <w:sz w:val="26"/>
        </w:rPr>
        <w:t xml:space="preserve">Article 47 【Coordination of</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Ideal-Type Stereotypes</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in Human Society】</w:t>
      </w:r>
    </w:p>
    <w:p>
      <w:pPr>
        <w:pStyle w:val="FirstParagraph"/>
        <w:spacing w:after="120" w:line="312" w:lineRule="auto"/>
      </w:pPr>
      <w:r>
        <w:rPr>
          <w:rFonts w:ascii="DejaVu Serif" w:hAnsi="DejaVu Serif" w:eastAsia="Noto Serif CJK SC"/>
          <w:color w:val="000000"/>
          <w:sz w:val="22"/>
        </w:rPr>
        <w:t xml:space="preserve">For people with specific identities, such as entrepreneurs, financial bankers, investors, politicians, hosts, etc., the public often has social</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ideal stereotypes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regarding this, in public occasions</w:t>
      </w:r>
    </w:p>
    <w:p>
      <w:pPr>
        <w:pStyle w:val="BodyText"/>
        <w:spacing w:after="120" w:line="312" w:lineRule="auto"/>
      </w:pPr>
      <w:r>
        <w:rPr>
          <w:rFonts w:ascii="DejaVu Serif" w:hAnsi="DejaVu Serif" w:eastAsia="Noto Serif CJK SC"/>
          <w:color w:val="000000"/>
          <w:sz w:val="22"/>
        </w:rPr>
        <w:t xml:space="preserve">one should be aware of and consider them, but need not be concerned with public evaluation; one should coordinate the coordination of public relations with the values of personal freedom in terms of expression management, emotion management, expectation management, mood management, appearance management, and interest management.</w:t>
      </w:r>
    </w:p>
    <w:tbl>
      <w:tblPr>
        <w:tblStyle w:val="Table"/>
        <w:tblW w:type="pct" w:w="5009"/>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4"/>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For people with specific identities, such as entrepreneurs, financial bankers, investors, politicians, hosts, etc., the public often has social</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ideal stereotypes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regarding this, in public occasions one should be aware of and consider them, but need not be concerned with public evaluation; one should coordinate the coordination of public relations with the values of personal freedom in terms of expression management, emotion management, expectation management, mood management, appearance management, and interest management.</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Coordination of Public Image and Personal Liberty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—to discern public expectations, utilize what is beneficial, and not be constrained by evaluations.</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The various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management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measures presented herein demonstrate to the Charter-Maker the method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governing the image with reason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using the tools of public relations to protect the substance of personal liberty. This is connected to Article 17 【The Public Nature of Relative Bottom Lines】 and Article 99 【Equal Attitude Toward Others】.</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17, Article 38, Article 99.</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90"/>
    <w:bookmarkStart w:id="91" w:name="X8d1f5bfd65452327de9966b32895c224b927495"/>
    <w:p>
      <w:pPr>
        <w:pStyle w:val="Heading3"/>
        <w:spacing w:after="120" w:line="312" w:lineRule="auto"/>
        <w:jc w:val="left"/>
      </w:pPr>
      <w:r>
        <w:rPr>
          <w:rFonts w:ascii="DejaVu Serif" w:hAnsi="DejaVu Serif" w:eastAsia="Noto Serif CJK SC"/>
          <w:color w:val="000000"/>
          <w:sz w:val="26"/>
        </w:rPr>
        <w:t xml:space="preserve">Article 48 【Reference Measures for the Establishment, Operation and Management of a Company】</w:t>
      </w:r>
    </w:p>
    <w:p>
      <w:pPr>
        <w:pStyle w:val="FirstParagraph"/>
        <w:spacing w:after="120" w:line="312" w:lineRule="auto"/>
      </w:pPr>
      <w:r>
        <w:rPr>
          <w:rFonts w:ascii="DejaVu Serif" w:hAnsi="DejaVu Serif" w:eastAsia="Noto Serif CJK SC"/>
          <w:color w:val="000000"/>
          <w:sz w:val="22"/>
        </w:rPr>
        <w:t xml:space="preserve">“</w:t>
      </w:r>
      <w:r>
        <w:rPr>
          <w:rFonts w:ascii="DejaVu Serif" w:hAnsi="DejaVu Serif" w:eastAsia="Noto Serif CJK SC"/>
          <w:color w:val="000000"/>
          <w:sz w:val="22"/>
        </w:rPr>
        <w:t xml:space="preserve">Measures for Handling Violations and Illegal Acts,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for reference only in the establishment, operation, and management of the company: (1) Order immediate correction; (2) Order correction within a specified time limit; (3) Suspension from duties; (4) Order suspension from position; (5) Acceptance of a formal interview; (6) Disqualification; (7) Transfer to another position; (8) Removal from position; (9) Order compensation for losses; (10) Order continued performance; (11) Order return of original property; (12) Order a written statement of repentance; (13) Order rework of the business matter; (14) Order rectification of the department; (15) Order private, closed-door reflection; (16) Order submission of a written self-criticism; (17) Order suspension from position for reflection; (18) Order public self-criticism; (19) Give a public criticism; (20) Order a private apology; (21) Declaration of invalidation of the act; (22) Confiscation of acquired rights and property; (23) Order appropriate charitable donation; (24) Order appropriate payment of gratitude funds; (25) Ineligibility for awards and honors; (26) Reduction of current official rank (level); (27) Reduction of non-basic salary (bonuses, benefits, dividends, etc.); (28) Suspension of non-basic salary (bonuses, benefits, dividends, etc.); (29) Give a serious warning, either non-public or public; (30) Impose equivalent substantive penalties; (31) Impose a demerit; (32) Impose a major demerit.</w:t>
      </w:r>
    </w:p>
    <w:p>
      <w:pPr>
        <w:pStyle w:val="Compact"/>
        <w:numPr>
          <w:ilvl w:val="0"/>
          <w:numId w:val="1015"/>
        </w:numPr>
        <w:spacing w:after="120" w:line="312" w:lineRule="auto"/>
      </w:pPr>
      <w:r>
        <w:rPr>
          <w:rFonts w:ascii="DejaVu Serif" w:hAnsi="DejaVu Serif" w:eastAsia="Noto Serif CJK SC"/>
          <w:color w:val="000000"/>
          <w:sz w:val="22"/>
        </w:rPr>
        <w:t xml:space="preserve">Revocation of preferential rights (for awards, excellence evaluations, and advanced honors); (34) Recording in the service record file and credit record file; (35) Public declaration of their recording in the service record file and credit record file; (36) Revocation of the work certificate; (37) Revocation of qualification to hold corresponding positions in specific departments throughout the company; (38) Revocation of qualification to serve throughout the company; (39) (Legal) disciplinary discharge for violations; (40) Order within the company to compensate at market value; (41) Legal recovery of losses; (42) Submission to judicial authorities for civil litigation processing; (43) Submission to judicial authorities for administrative litigation processing; (44) Submission to judicial authorities for public security management penalty processing; (45) Granting of criminal litigation processing: Paragraph 1. 1. Confession and repentance; Paragraph 2. 2. Pronouncement of probation; Paragraph 3. 3. Pronouncement of parole; Paragraph 4. 4. Residential surveillance; Paragraph 5. 5. Release on bail pending trial; Paragraph 6. 6. Medical parole; Paragraph 7. 7. Control (3-24 months); Paragraph 8. 8. Detention (1-15 days); Paragraph 9. 9. Criminal detention (1-6 months); Paragraph 10. 10. Fixed-term imprisonment (with probation); Paragraph 11. 11. Fixed-term imprisonment of 0.5-25 years (actual execution): Item 1. Fixed-term imprisonment of 0.5-3 years (actual execution); Item 2. Fixed-term imprisonment of 3-5 years (actual execution); Item 3. Fixed-term imprisonment of 5-7 years (actual execution, including 7 years); Item 4. Fixed-term imprisonment of 7-10 years (actual execution, excluding 7 years); Item 5. Fixed-term imprisonment of 10-15 years (actual execution); Item 6. Fixed-term imprisonment of 15-20 years (actual execution); Item 7. Fixed-term imprisonment of 20-25 years (actual execution); Paragraph 12. 12. Life imprisonment (non-actual actual execution 13-25 years); Paragraph 13. 13. Life imprisonment (life imprisonment without commutation or parole, currently explicitly applicable in principle only to extreme cases of corruption); Paragraph 14. 14. Death penalty / Life penalty (suspended execution for 1-2 years); Paragraph 15. 15. Death penalty / Life penalty (actual execution)｡</w:t>
      </w:r>
    </w:p>
    <w:tbl>
      <w:tblPr>
        <w:tblStyle w:val="Table"/>
        <w:tblW w:type="pct" w:w="5005"/>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7"/>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For reference only in the establishment and operation of the company,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Measures for Handling Violations and Illegal Acts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(1) Order immediate correction; (2) Order correction within a specified period; (3) Suspension of duties; (4) Order suspension from position; (5) Acceptance of interview; (6) Revocation of qualification; (7) Position transfer handling; (8) Dismissal from position; (9) Order to compensate for losses; (10) Order to continue performance; (11) Order to return the original item; (12) Order to confess and repent; (13) Order to redo business; (14) Order the unit to rectify; (15) Order individual closed-door reflection; (16) Order to submit a written self-criticism; (17) Order suspension from position for reflection; (18) Order public self-criticism; (19) Grant of public criticism; (20) Order private apology; (21) Declaration of invalidation of act; (22) Confiscation of acquired rights and property; (23) Order appropriate donation; (24) Order appropriate gratitude payment; (25) Exclusion from awards… (The full text shall be taken as the authentic text).</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provides a reference list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measures for handling violations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for corporate governance, containing over twenty types, demonstrating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measure library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the author’s corporate governance approach.</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Note</w:t>
            </w:r>
            <w:r>
              <w:rPr>
                <w:rFonts w:ascii="DejaVu Serif" w:hAnsi="DejaVu Serif" w:eastAsia="Noto Sans CJK SC"/>
                <w:color w:val="000000"/>
                <w:sz w:val="19"/>
              </w:rPr>
              <w:t xml:space="preserve">: This article refers to governance measures for corporate legal entities, not hierarchical</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penalties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disciplinary actions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against company members; all处置 (dispositions) shall be carried out in compliance methods of governance, collaboration, and pursuing breach of contract liability.</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The listed measures progress from</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minor</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(ordering correction, interview) to</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more severe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(dismissal, compensation), forming the author’s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graded disposition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method for personal corporate governance. It connects with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breach of contract liability pursuit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mechanism in the corporate governance system.</w:t>
            </w:r>
          </w:p>
        </w:tc>
      </w:tr>
      <w:tr>
        <w:tc>
          <w:tcPr/>
          <w:p>
            <w:pPr>
              <w:pStyle w:val="Compact"/>
              <w:spacing w:after="40" w:line="288" w:lineRule="auto"/>
              <w:jc w:val="left"/>
            </w:pPr>
            <w:r>
              <w:rPr>
                <w:rFonts w:ascii="DejaVu Serif" w:hAnsi="DejaVu Serif" w:eastAsia="Noto Sans CJK SC"/>
                <w:b/>
                <w:bCs/>
                <w:color w:val="C00000"/>
                <w:sz w:val="19"/>
              </w:rPr>
              <w:t xml:space="preserve">【Legislative History】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title and text of this article contain historical terms such as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management disposition,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which shall be understood in accordance with the Charter’s terminology and the exemption rules of the TERM-REVIEW-001对照 table, meaning they are to be carried out in ways of governance, collaboration, and pursuit.</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9 【Implementation and Supervision Mechanisms】, Article 71 【Layout and Market Positioning】, Annex D.02.001 【Grand Code of Breach of Contract Liability for Non-Partner Cooperators】.</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91"/>
    <w:bookmarkStart w:id="92" w:name="Xf88324d2cc35a34e5deb8595738267fb118d8cd"/>
    <w:p>
      <w:pPr>
        <w:pStyle w:val="Heading3"/>
        <w:spacing w:after="120" w:line="312" w:lineRule="auto"/>
        <w:jc w:val="left"/>
      </w:pPr>
      <w:r>
        <w:rPr>
          <w:rFonts w:ascii="DejaVu Serif" w:hAnsi="DejaVu Serif" w:eastAsia="Noto Serif CJK SC"/>
          <w:color w:val="000000"/>
          <w:sz w:val="26"/>
        </w:rPr>
        <w:t xml:space="preserve">Article 49 【The MVP Principle for Purchasing Subject Matter】</w:t>
      </w:r>
    </w:p>
    <w:p>
      <w:pPr>
        <w:pStyle w:val="FirstParagraph"/>
        <w:spacing w:after="120" w:line="312" w:lineRule="auto"/>
      </w:pPr>
      <w:r>
        <w:rPr>
          <w:rFonts w:ascii="DejaVu Serif" w:hAnsi="DejaVu Serif" w:eastAsia="Noto Serif CJK SC"/>
          <w:color w:val="000000"/>
          <w:sz w:val="22"/>
        </w:rPr>
        <w:t xml:space="preserve">Each purchase shall, in principle, involve prior planning and the creation of a list, and shall strictly follow the list for purchase. In principle, no object outside the list shall be purchased, and no unplanned object shall be purchased merely due to price discounts.</w:t>
      </w:r>
    </w:p>
    <w:tbl>
      <w:tblPr>
        <w:tblStyle w:val="Table"/>
        <w:tblW w:type="pct" w:w="5015"/>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4"/>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Each purchase shall, in principle, involve prior planning and the creation of a list, and shall strictly follow the list for purchase. In principle, no object outside the list shall be purchased, and no unplanned object shall be purchased merely due to price discounts.</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Purchase List Doctrine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(MVP Principle)—plan first, create a list, purchase according to the list, and do not purchase items outside the list due to discounts.</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uses the small to illustrate the great—self-discipline in consumption is the mastery of desire, and echoes with Article 81 【Autonomous Standard-Setting Action Model Principle】 (the detail of the shopping list). My personal life principle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minimalism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also based on this.</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81, Article 8-3, Annex A.04.001.</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92"/>
    <w:bookmarkStart w:id="93" w:name="X0fb8d7a68cfdeeff9c7f13d28ed7b8bf6989835"/>
    <w:p>
      <w:pPr>
        <w:pStyle w:val="Heading3"/>
        <w:spacing w:after="120" w:line="312" w:lineRule="auto"/>
        <w:jc w:val="left"/>
      </w:pPr>
      <w:r>
        <w:rPr>
          <w:rFonts w:ascii="DejaVu Serif" w:hAnsi="DejaVu Serif" w:eastAsia="Noto Serif CJK SC"/>
          <w:color w:val="000000"/>
          <w:sz w:val="26"/>
        </w:rPr>
        <w:t xml:space="preserve">Article 50 【The Essential Logic of the Creation of All Human Projects】</w:t>
      </w:r>
    </w:p>
    <w:p>
      <w:pPr>
        <w:pStyle w:val="FirstParagraph"/>
        <w:spacing w:after="120" w:line="312" w:lineRule="auto"/>
      </w:pPr>
      <w:r>
        <w:rPr>
          <w:rFonts w:ascii="DejaVu Serif" w:hAnsi="DejaVu Serif" w:eastAsia="Noto Serif CJK SC"/>
          <w:color w:val="000000"/>
          <w:sz w:val="22"/>
        </w:rPr>
        <w:t xml:space="preserve">Creation begins with human (human nature) needs, creating a state of chaos – becoming increasingly clear, systematic, and theoretical – profits decrease – becomes unprofitable – begins anew from human (human nature) needs to create a new state of chaos.</w:t>
      </w:r>
    </w:p>
    <w:tbl>
      <w:tblPr>
        <w:tblStyle w:val="Table"/>
        <w:tblW w:type="pct" w:w="5015"/>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4"/>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Creation begins with human (human nature) needs, creating a state of chaos—becoming increasingly clear, systematic, and theoretical—profits decrease—becomes unprofitable—begins anew from human (human nature) needs to create a new state of chaos.</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reveals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Cyclical Logic of Project Creation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—originating from needs (chaos), proceeding through systematization (clarity), to diminishing profits (unprofitability), and then restarting with new needs (new chaos). This is an essential insight into the business cycle.</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together with Article 51 【Origin as Idea】, Article 59 【Business Development Model】, and Article 60 【Essence of Reincarnation】, collectively constitutes my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View of the Business Cycle,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demonstrating the wisdom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embracing change and transforming at the right time.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50, Article 51, Article 59, Article 60, Article 107.</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93"/>
    <w:bookmarkStart w:id="94" w:name="Xa851d035c155949d73379056c9a3cced38bb6d9"/>
    <w:p>
      <w:pPr>
        <w:pStyle w:val="Heading3"/>
        <w:spacing w:after="120" w:line="312" w:lineRule="auto"/>
        <w:jc w:val="left"/>
      </w:pPr>
      <w:r>
        <w:rPr>
          <w:rFonts w:ascii="DejaVu Serif" w:hAnsi="DejaVu Serif" w:eastAsia="Noto Serif CJK SC"/>
          <w:color w:val="000000"/>
          <w:sz w:val="26"/>
        </w:rPr>
        <w:t xml:space="preserve">Article 51 【The Origin of the Creation of All Human Projects】</w:t>
      </w:r>
    </w:p>
    <w:p>
      <w:pPr>
        <w:pStyle w:val="FirstParagraph"/>
        <w:spacing w:after="120" w:line="312" w:lineRule="auto"/>
      </w:pPr>
      <w:r>
        <w:rPr>
          <w:rFonts w:ascii="DejaVu Serif" w:hAnsi="DejaVu Serif" w:eastAsia="Noto Serif CJK SC"/>
          <w:color w:val="000000"/>
          <w:sz w:val="22"/>
        </w:rPr>
        <w:t xml:space="preserve">The origin of creation for all human projects is merely an Idea, a consensus concept and advocacy of altruism between oneself and specific cooperating others (generally through media or commercial advertising), which reflects the founder’s inner beliefs and vision. It is generally based on the essential logic of oneself and various groups of people, humanity and human nature, human hearts, and dreams… Essentially, any institution is composed of natural persons, and at most, it is merely a consensus (essential, macroscopic) of the inner concepts of the institution’s top leadership.</w:t>
      </w:r>
    </w:p>
    <w:tbl>
      <w:tblPr>
        <w:tblStyle w:val="Table"/>
        <w:tblW w:type="pct" w:w="5008"/>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3"/>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origin of creation for all human projects is merely an Idea, a consensus concept and advocacy of altruism between oneself and specific cooperating others (generally through media or commercial advertising), which reflects the founder’s inner beliefs and vision. It is generally based on the essential logic of oneself and various groups of people, humanity and human nature, human hearts, and dreams… Essentially, any institution is composed of natural persons, and at most, it is merely a consensus (essential, macroscopic) of the inner concepts of the institution’s top leadership.</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reveals that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Origin of Projects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a</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Consensus Concept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(Idea)—all business projects are, in essence, the externalization of a founder’s inner beliefs.</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is consistent with Article 52 【Logical Closure】 and Article 60 【Essence of Reincarnation】, demonstrating my cognition that</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concepts are the core of business.</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50, Article 52, Article 60.</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94"/>
    <w:bookmarkStart w:id="95" w:name="X2047bee11df9d6a100243bd21e3489220bea2e8"/>
    <w:p>
      <w:pPr>
        <w:pStyle w:val="Heading3"/>
        <w:spacing w:after="120" w:line="312" w:lineRule="auto"/>
        <w:jc w:val="left"/>
      </w:pPr>
      <w:r>
        <w:rPr>
          <w:rFonts w:ascii="DejaVu Serif" w:hAnsi="DejaVu Serif" w:eastAsia="Noto Serif CJK SC"/>
          <w:color w:val="000000"/>
          <w:sz w:val="26"/>
        </w:rPr>
        <w:t xml:space="preserve">Article 52 【The Scientific Logical Closed Loop of the Principle of the Creation of All Human Projects】</w:t>
      </w:r>
    </w:p>
    <w:p>
      <w:pPr>
        <w:pStyle w:val="FirstParagraph"/>
        <w:spacing w:after="120" w:line="312" w:lineRule="auto"/>
      </w:pPr>
      <w:r>
        <w:rPr>
          <w:rFonts w:ascii="DejaVu Serif" w:hAnsi="DejaVu Serif" w:eastAsia="Noto Serif CJK SC"/>
          <w:color w:val="000000"/>
          <w:sz w:val="22"/>
        </w:rPr>
        <w:t xml:space="preserve">The logical closed loop of human social development begins with the essence of philosophy (the actor themselves, the head of state of the human society and national joint organization, or the head of state of their own country, or the ideological, conceptual, and value system of human consensus), proceeds through the essence of economics (exchange of human desires, exchange of value) – law (political policies, international and national laws) – pedagogy (tools for shaping the concepts of political circles) – linguistics and literature (tools for human education) – history (documentation of all key human events and summary of trends) – natural sciences (human natural science concepts: physics, chemistry, biology, astronomy, geography, etc.) – engineering (the aggregation of all tangible human technologies, methods, and process disciplines) – agriculture (all concepts and technologies related to plant cultivation and animal husbandry) – medicine (all research disciplines concerning human health, diseases, drugs, poisoning, etc.) – military science (the study of all personnel of violent institutions and their mechanisms) – management and business studies (the study of all personnel and mechanisms of enterprise production and business activities) – art (all cultural activities that use means or media to shape images and create atmospheres to reflect reality and express emotions)</w:t>
      </w:r>
    </w:p>
    <w:tbl>
      <w:tblPr>
        <w:tblStyle w:val="Table"/>
        <w:tblW w:type="pct" w:w="5007"/>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1"/>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logical closed loop of human social development begins with the essence of philosophy (the actor themselves, the head of state themselves, or the ideological, conceptual, and value system of human consensus), proceeds through the essence of economics (exchange of human desires, exchange of value) – law (political policies, international and national laws) – pedagogy (tools for shaping concepts) – linguistics and literature – history – natural sciences – engineering – agriculture – medicine – military science… (each discipline is interconnected, forming a logical closed loop; the full text shall be taken as the authentic text).</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describes the logic of human social operation through a</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disciplinary closed loop</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originating from philosophy, passing through the domains of economy, law, education, literature, history, natural sciences, engineering, agriculture, medicine, and military science, forming a self-consistent system. This represents my overall map of interdisciplinary cognition.</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is cross-referenced with Article 32 【Knowledge Structure】, Article 43 【Circle Worldview】, and Article 53 【Interdisciplinary Habits】, demonstrating my perspective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viewing the world through interdisciplinary integration.</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32, Article 43, Article 53.</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95"/>
    <w:bookmarkStart w:id="96" w:name="article-53-daily-habits"/>
    <w:p>
      <w:pPr>
        <w:pStyle w:val="Heading3"/>
        <w:spacing w:after="120" w:line="312" w:lineRule="auto"/>
        <w:jc w:val="left"/>
      </w:pPr>
      <w:r>
        <w:rPr>
          <w:rFonts w:ascii="DejaVu Serif" w:hAnsi="DejaVu Serif" w:eastAsia="Noto Serif CJK SC"/>
          <w:color w:val="000000"/>
          <w:sz w:val="26"/>
        </w:rPr>
        <w:t xml:space="preserve">Article 53 【Daily Habits】</w:t>
      </w:r>
    </w:p>
    <w:p>
      <w:pPr>
        <w:pStyle w:val="FirstParagraph"/>
        <w:spacing w:after="120" w:line="312" w:lineRule="auto"/>
      </w:pPr>
      <w:r>
        <w:rPr>
          <w:rFonts w:ascii="DejaVu Serif" w:hAnsi="DejaVu Serif" w:eastAsia="Noto Serif CJK SC"/>
          <w:color w:val="000000"/>
          <w:sz w:val="22"/>
        </w:rPr>
        <w:t xml:space="preserve">My daily habits include: (1) Reading biographical and academic principle books; (2) Multilingual writing; (3) Foreign language learning; (4) Multilingual speeches and orations; (5) Reading across interdisciplinary fields; (6) Cross-lingual and cross-cultural reading; (7) Cross-cultural socializing (communication); (8) Learning of interdisciplinary principles; (9) Physical fitness; (10) Strategic planning; (11) Personnel organization; (12) Project planning; (13) Implementation; (14) Implementation supervision; (15) Reflection and review;</w:t>
      </w:r>
    </w:p>
    <w:tbl>
      <w:tblPr>
        <w:tblStyle w:val="Table"/>
        <w:tblW w:type="pct" w:w="5008"/>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2"/>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My daily habits include: (1) Reading biographical and academic principle books; (2) Multilingual writing; (3) Foreign language learning; (4) Multilingual speeches and orations; (5) Reading across interdisciplinary fields; (6) Cross-lingual and cross-cultural reading; (7) Cross-cultural socializing (communication); (8) Learning of interdisciplinary principles; (9) Physical fitness; (10) Strategic planning; (11) Personnel organization; (12) Project planning; (13) Implementation; (14) Implementation supervision; (15) Reflection and review; (the full text shall be taken as the authentic text).</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lists my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daily habits,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totaling more than ten items, which are the daily cultivation methods for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ideal personality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2).</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Habits are divided into three categories: learning (reading, writing, studying, speaking), cross-cultural (cross-lingual, cross-cultural socializing), and management (planning, organizing, implementing, supervising, reviewing). Cross-referenced with Article 54</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Focus at Each Stage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 Article 32</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Knowledge Structure.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2, Article 32, Article 54, Article 119.</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96"/>
    <w:bookmarkStart w:id="97" w:name="Xe0612911ea068ceabb1f124728a28e2358b1028"/>
    <w:p>
      <w:pPr>
        <w:pStyle w:val="Heading3"/>
        <w:spacing w:after="120" w:line="312" w:lineRule="auto"/>
        <w:jc w:val="left"/>
      </w:pPr>
      <w:r>
        <w:rPr>
          <w:rFonts w:ascii="DejaVu Serif" w:hAnsi="DejaVu Serif" w:eastAsia="Noto Serif CJK SC"/>
          <w:color w:val="000000"/>
          <w:sz w:val="26"/>
        </w:rPr>
        <w:t xml:space="preserve">Article 54 【The Core and Critical Matters on Which to Focus at Each Stage from Penniless to the World’s Richest】</w:t>
      </w:r>
    </w:p>
    <w:p>
      <w:pPr>
        <w:pStyle w:val="FirstParagraph"/>
        <w:spacing w:after="120" w:line="312" w:lineRule="auto"/>
      </w:pPr>
      <w:r>
        <w:rPr>
          <w:rFonts w:ascii="DejaVu Serif" w:hAnsi="DejaVu Serif" w:eastAsia="Noto Serif CJK SC"/>
          <w:color w:val="000000"/>
          <w:sz w:val="22"/>
        </w:rPr>
        <w:t xml:space="preserve">The specific areas of focus for each stage from having no money to becoming the wealthiest human are as follows: (1) 0-10,000/year – Solving a small problem for a small group of people (elite group); (2) 10,000-100,000/year – Deep professional activities (whether the solution is good); (3) 100,000-1,000,000/year – Project planning and operations; (4) 1,000,000-10,000,000/year – Standardization activities, marketing activities, team building</w:t>
      </w:r>
    </w:p>
    <w:tbl>
      <w:tblPr>
        <w:tblStyle w:val="Table"/>
        <w:tblW w:type="pct" w:w="5009"/>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4"/>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specific matters to focus on during each stage, from having no money to becoming the world’s richest person, are as follows: (1) 0-10,000/year—solving a small problem for a small group of people (the elite); (2) 10,000-100,000/year—deepening professional activities (whether the plan is good); (3) 100,000-1,000,000/year—project planning and operational activities; (4) 1,000,000-10,000,000/year—standardization activities, marketing activities, team building… (The full text shall be taken as the authentic text).</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【Discussion】It is stated that this Article, according to the income ladder, clarifies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core focus matters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for each stage, and demonstrates the strategy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stage matching and progressive advancement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for this life.</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It is discussed: This Article, together with Article 8-2 【Direction and Order】, Article 59 【Business Development Model】, and Article 63 【Financial Ark Stage】, collectively constitutes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Staged Growth</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methodology of the Charter-Maker.</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8-2, Article 59, Article 62, Article 63.</w:t>
            </w:r>
          </w:p>
        </w:tc>
      </w:tr>
    </w:tbl>
    <w:bookmarkEnd w:id="97"/>
    <w:bookmarkEnd w:id="98"/>
    <w:bookmarkStart w:id="100" w:name="Xd4514661e109b894f7c6049dd42dd9c9cf9b918"/>
    <w:p>
      <w:pPr>
        <w:pStyle w:val="Heading2"/>
        <w:spacing w:after="160" w:line="312" w:lineRule="auto"/>
        <w:jc w:val="left"/>
      </w:pPr>
      <w:r>
        <w:rPr>
          <w:rFonts w:ascii="DejaVu Serif" w:hAnsi="DejaVu Serif" w:eastAsia="Noto Serif CJK SC"/>
          <w:color w:val="000000"/>
          <w:sz w:val="30"/>
        </w:rPr>
        <w:t xml:space="preserve">Volume 6 Chapter on Enterprise and Management</w:t>
      </w:r>
    </w:p>
    <w:p>
      <w:pPr>
        <w:spacing w:after="120" w:line="312" w:lineRule="auto"/>
      </w:pPr>
      <w:r>
        <w:rPr>
          <w:rFonts w:ascii="DejaVu Serif" w:hAnsi="DejaVu Serif" w:eastAsia="Noto Serif CJK SC"/>
          <w:color w:val="000000"/>
          <w:sz w:val="22"/>
        </w:rPr>
        <w:pict>
          <v:rect style="width:0;height:1.5pt" o:hralign="center" o:hrstd="t" o:hr="t"/>
        </w:pict>
      </w:r>
    </w:p>
    <w:bookmarkStart w:id="99" w:name="X7d8cdaba0b8baa57047184f77aef2317eb486eb"/>
    <w:p>
      <w:pPr>
        <w:pStyle w:val="Heading3"/>
        <w:spacing w:after="120" w:line="312" w:lineRule="auto"/>
        <w:jc w:val="left"/>
      </w:pPr>
      <w:r>
        <w:rPr>
          <w:rFonts w:ascii="DejaVu Serif" w:hAnsi="DejaVu Serif" w:eastAsia="Noto Serif CJK SC"/>
          <w:color w:val="000000"/>
          <w:sz w:val="26"/>
        </w:rPr>
        <w:t xml:space="preserve">Article 54 【The Core and Critical Matters on Which to Focus at Each Stage from Penniless to the World’s Richest】</w:t>
      </w:r>
    </w:p>
    <w:p>
      <w:pPr>
        <w:pStyle w:val="FirstParagraph"/>
        <w:spacing w:after="120" w:line="312" w:lineRule="auto"/>
      </w:pPr>
      <w:r>
        <w:rPr>
          <w:rFonts w:ascii="DejaVu Serif" w:hAnsi="DejaVu Serif" w:eastAsia="Noto Serif CJK SC"/>
          <w:color w:val="000000"/>
          <w:sz w:val="22"/>
        </w:rPr>
        <w:t xml:space="preserve">The specific matters to focus on during each stage, from having no money to becoming the world’s richest human, are as follows: (1) 0-10,000/year – Solving a small problem for a small group of people (the elite); (2) 10,000-100,000/year – Deepening professional activities (the quality of the plan); (3) 100,000-1,000,000/year – Project planning and operational activities; (4) 1,000,000-10,000,000/year – Standardization activities, marketing activities, team-building activities (incentives, personnel selection, personal character); (5) 10,000,000-100,000,000/year – Design of (macroscopic, abstract, and intangible) business models; (6) 100,000,000-1,000,000,000/year – Replicating the same business model project ten times; (7) 1,000,000,000-10,000,000,000/year – Equity design, corporate legal person cluster (group) structure, business direction; (8) 10,000,000,000-100,000,000,000/year – National destiny (national fortune) development trends; (9) 100,000,000,000-1,000,000,000,000/year – Human society development trends (people, wealth, materials; timing, geographical advantage, and human harmony).</w:t>
      </w:r>
    </w:p>
    <w:tbl>
      <w:tblPr>
        <w:tblStyle w:val="Table"/>
        <w:tblW w:type="pct" w:w="5009"/>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4"/>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specific matters to focus on during each stage, from having no money to becoming the world’s richest person, are as follows: (1) 0-10,000/year—solving a small problem for a small group of people (the elite); (2) 10,000-100,000/year—deepening professional activities (whether the plan is good); (3) 100,000-1,000,000/year—project planning and operational activities; (4) 1,000,000-10,000,000/year—standardization activities, marketing activities, team building… (The full text shall be taken as the authentic text).</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【Discussion】It is stated that this Article, according to the income ladder, clarifies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core focus matters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for each stage, and demonstrates the strategy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stage matching and progressive advancement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for this life.</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It is discussed: This Article, together with Article 8-2 【Direction and Order】, Article 59 【Business Development Model】, and Article 63 【Financial Ark Stage】, collectively constitutes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Staged Growth</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methodology of the Charter-Maker.</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8-2, Article 59, Article 62, Article 63.</w:t>
            </w:r>
          </w:p>
        </w:tc>
      </w:tr>
    </w:tbl>
    <w:bookmarkEnd w:id="99"/>
    <w:bookmarkEnd w:id="100"/>
    <w:bookmarkStart w:id="114" w:name="X68f94e6fb382aaa1a0f7d4aaed5d40eadad28fe"/>
    <w:p>
      <w:pPr>
        <w:pStyle w:val="Heading2"/>
        <w:spacing w:after="160" w:line="312" w:lineRule="auto"/>
        <w:jc w:val="left"/>
      </w:pPr>
      <w:r>
        <w:rPr>
          <w:rFonts w:ascii="DejaVu Serif" w:hAnsi="DejaVu Serif" w:eastAsia="Noto Serif CJK SC"/>
          <w:color w:val="000000"/>
          <w:sz w:val="30"/>
        </w:rPr>
        <w:t xml:space="preserve">Volume 6 Chapter on Enterprise and Management</w:t>
      </w:r>
    </w:p>
    <w:p>
      <w:pPr>
        <w:spacing w:after="120" w:line="312" w:lineRule="auto"/>
      </w:pPr>
      <w:r>
        <w:rPr>
          <w:rFonts w:ascii="DejaVu Serif" w:hAnsi="DejaVu Serif" w:eastAsia="Noto Serif CJK SC"/>
          <w:color w:val="000000"/>
          <w:sz w:val="22"/>
        </w:rPr>
        <w:pict>
          <v:rect style="width:0;height:1.5pt" o:hralign="center" o:hrstd="t" o:hr="t"/>
        </w:pict>
      </w:r>
    </w:p>
    <w:bookmarkStart w:id="101" w:name="X1f825b92a6c05eaefaf21da18d87863bf51c002"/>
    <w:p>
      <w:pPr>
        <w:pStyle w:val="Heading3"/>
        <w:spacing w:after="120" w:line="312" w:lineRule="auto"/>
        <w:jc w:val="left"/>
      </w:pPr>
      <w:r>
        <w:rPr>
          <w:rFonts w:ascii="DejaVu Serif" w:hAnsi="DejaVu Serif" w:eastAsia="Noto Serif CJK SC"/>
          <w:color w:val="000000"/>
          <w:sz w:val="26"/>
        </w:rPr>
        <w:t xml:space="preserve">Article 55 【The Population-Selection Model for Entrepreneurship】</w:t>
      </w:r>
    </w:p>
    <w:p>
      <w:pPr>
        <w:pStyle w:val="FirstParagraph"/>
        <w:spacing w:after="120" w:line="312" w:lineRule="auto"/>
      </w:pPr>
      <w:r>
        <w:rPr>
          <w:rFonts w:ascii="DejaVu Serif" w:hAnsi="DejaVu Serif" w:eastAsia="Noto Serif CJK SC"/>
          <w:color w:val="000000"/>
          <w:sz w:val="22"/>
        </w:rPr>
        <w:t xml:space="preserve">Starting from the essential logic of the highest academic subject of something one wishes to do, determine What, Why, How, and How much cost? From the common (all are human, activities and wishes follow the essential commonalities of human nature) to the individual (each</w:t>
      </w:r>
    </w:p>
    <w:p>
      <w:pPr>
        <w:pStyle w:val="BodyText"/>
        <w:spacing w:after="120" w:line="312" w:lineRule="auto"/>
      </w:pPr>
      <w:r>
        <w:rPr>
          <w:rFonts w:ascii="DejaVu Serif" w:hAnsi="DejaVu Serif" w:eastAsia="Noto Serif CJK SC"/>
          <w:color w:val="000000"/>
          <w:sz w:val="22"/>
        </w:rPr>
        <w:t xml:space="preserve">Different individual details and phenomena) are addressed by first, from the macro to the micro, providing solutions for the urgent, difficult, dangerous, and critical specific problems of service elites (targeting the minority of wealthy individuals); as projects deepen, there is then a gradual transition to providing solutions for the specific problems of the general public.</w:t>
      </w:r>
    </w:p>
    <w:tbl>
      <w:tblPr>
        <w:tblStyle w:val="Table"/>
        <w:tblW w:type="pct" w:w="5008"/>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2"/>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Starting from the essential logic of the highest academic subject of something one wishes to do, determine What, Why, How, and How much cost? Proceeding from the common (all being human, with activities and aspirations that follow the essential commonalities of human nature) to the individual (the different details and phenomena of each person), and from the macro to the micro, first develop solutions for specific urgent, difficult, dangerous, and critical problems for service elites (targeting a small wealthy population); as the project deepens, gradually transition to providing solutions for specific problems for the general public.</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【Discussion】It is stated that 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Entrepreneurial Personnel Selection Model</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—proceeding from essential logic (What/Why/How/Cost), first addressing the urgent, difficult, dangerous, and critical needs of the elite, and subsequently extending to the general needs of the public. This constitutes the business strategy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entering from the high-end and penetrating downward.</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It is discussed: This Article is to be cross-referenced with Article 85 [Client Finding and Positioning] and Article 59 [Business Development Model]. The method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elites first, then the masses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in fact a practice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validation through high value, followed by expansion through scale.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56, Article 59, Article 84, Article 85.</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01"/>
    <w:bookmarkStart w:id="102" w:name="article-56-the-essence-of-gratitude"/>
    <w:p>
      <w:pPr>
        <w:pStyle w:val="Heading3"/>
        <w:spacing w:after="120" w:line="312" w:lineRule="auto"/>
        <w:jc w:val="left"/>
      </w:pPr>
      <w:r>
        <w:rPr>
          <w:rFonts w:ascii="DejaVu Serif" w:hAnsi="DejaVu Serif" w:eastAsia="Noto Serif CJK SC"/>
          <w:color w:val="000000"/>
          <w:sz w:val="26"/>
        </w:rPr>
        <w:t xml:space="preserve">Article 56 【The Essence of Gratitude】</w:t>
      </w:r>
    </w:p>
    <w:p>
      <w:pPr>
        <w:pStyle w:val="FirstParagraph"/>
        <w:spacing w:after="120" w:line="312" w:lineRule="auto"/>
      </w:pPr>
      <w:r>
        <w:rPr>
          <w:rFonts w:ascii="DejaVu Serif" w:hAnsi="DejaVu Serif" w:eastAsia="Noto Serif CJK SC"/>
          <w:color w:val="000000"/>
          <w:sz w:val="22"/>
        </w:rPr>
        <w:t xml:space="preserve">The essence of gratitude is an internal emotion, and its specific manifestations mainly include: (1) Sending expressions of gratitude (digital messages, letters, videos, audio recordings, etc.) (2) Sending small gratitude red envelopes (3) Naturally referring high-quality people (4) Other reasonable methods</w:t>
      </w:r>
    </w:p>
    <w:tbl>
      <w:tblPr>
        <w:tblStyle w:val="Table"/>
        <w:tblW w:type="pct" w:w="5015"/>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4"/>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essence of gratitude is an internal emotion, and its specific manifestations mainly include: (1) sending messages of gratitude (digital messages, letters, videos, audio recordings, etc.); (2) sending small gratitude red envelopes; (3) naturally referring high-quality people; (4) other reasonable methods.</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defines the essence (internal emotion) and manifestations (information, red packets, referrals, etc.)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gratitude,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 demonstrates the method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knowing grace and repaying it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this life.</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The third manifestation of gratitude,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naturally referring quality people,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the business ethics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repaying with social networks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this life, and is connected with Article 111 【Maximizing Altruism】.</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72, Article 111, Article 118.</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02"/>
    <w:bookmarkStart w:id="103" w:name="X9e1fbdc2facad574e8a1fc7fa062db15266060c"/>
    <w:p>
      <w:pPr>
        <w:pStyle w:val="Heading3"/>
        <w:spacing w:after="120" w:line="312" w:lineRule="auto"/>
        <w:jc w:val="left"/>
      </w:pPr>
      <w:r>
        <w:rPr>
          <w:rFonts w:ascii="DejaVu Serif" w:hAnsi="DejaVu Serif" w:eastAsia="Noto Serif CJK SC"/>
          <w:color w:val="000000"/>
          <w:sz w:val="26"/>
        </w:rPr>
        <w:t xml:space="preserve">Article 57 【Working for Others, Entrepreneurship, Establishment of Corporate Legal-Person Entities, Investment, and IPR Property Income】</w:t>
      </w:r>
    </w:p>
    <w:p>
      <w:pPr>
        <w:pStyle w:val="FirstParagraph"/>
        <w:spacing w:after="120" w:line="312" w:lineRule="auto"/>
      </w:pPr>
      <w:r>
        <w:rPr>
          <w:rFonts w:ascii="DejaVu Serif" w:hAnsi="DejaVu Serif" w:eastAsia="Noto Serif CJK SC"/>
          <w:color w:val="000000"/>
          <w:sz w:val="22"/>
        </w:rPr>
        <w:t xml:space="preserve">The cash flow for maintaining my life comes from personally initiated entrepreneurship based on market supply and demand relationships (e.g., small and micro-enterprise legal entities), team entrepreneurship (forming a team to start a business), dividends from legal entities, personal portfolio investments, and property income from IPR (Intellectual Property Rights); under conditions where life and the right to survival are seriously threatened, it may come from temporary, point-to-point labor-based remuneration calculated based on work results; I do not accept wage income calculated based on labor hours, except in the following cases: my survival or life is under extreme realistic threat, and if timely measures are not taken, it may lead to loss of life or imminent death, and within a foreseeable time frame, there are no other income channels or disposable income; my survival or life is under extreme realistic threat, and if timely measures are not taken, it may lead to lifelong irreversible damage to my body organs, limbs, or other critical personal targets, and within a foreseeable time frame, there are no other income channels or disposable income; the entity providing the wage income calculated based on labor hours (generally a corporate legal entity) can learn specific equity structures, business models, key core commercial information, and information beneficial to my subsequent independent entrepreneurial or investment activities.</w:t>
      </w:r>
    </w:p>
    <w:tbl>
      <w:tblPr>
        <w:tblStyle w:val="Table"/>
        <w:tblW w:type="pct" w:w="5006"/>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0"/>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cash flow for maintaining my life comes from personally initiated entrepreneurship based on market supply and demand relationships (such as small and micro-enterprise legal entities), team entrepreneurship (forming a team to start a business), dividends from legal entities, personal portfolio investments, and property income from IPR (Intellectual Property Rights); under conditions where life and the right to survival are seriously threatened, it may come from temporary, point-to-point labor-based remuneration calculated based on work results;</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I do not accept wage income calculated based on labor hours</w:t>
            </w:r>
            <w:r>
              <w:rPr>
                <w:rFonts w:ascii="DejaVu Serif" w:hAnsi="DejaVu Serif" w:eastAsia="Noto Sans CJK SC"/>
                <w:color w:val="000000"/>
                <w:sz w:val="19"/>
              </w:rPr>
              <w:t xml:space="preserve">, except in the following cases: my survival or life is under extreme realistic threat… (The full text shall be taken as the authentic text).</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income source principle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for this life—with entrepreneurship, investment, and IPR property income as the main body,</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I do not accept</w:t>
            </w:r>
            <w:r>
              <w:rPr>
                <w:rFonts w:ascii="DejaVu Serif" w:hAnsi="DejaVu Serif" w:eastAsia="Noto Sans CJK SC"/>
                <w:b/>
                <w:bCs/>
                <w:color w:val="000000"/>
                <w:sz w:val="19"/>
              </w:rPr>
              <w:t xml:space="preserve"> </w:t>
            </w:r>
            <w:r>
              <w:rPr>
                <w:rFonts w:ascii="DejaVu Serif" w:hAnsi="DejaVu Serif" w:eastAsia="Noto Sans CJK SC"/>
                <w:b/>
                <w:bCs/>
                <w:color w:val="000000"/>
                <w:sz w:val="19"/>
              </w:rPr>
              <w:t xml:space="preserve">“</w:t>
            </w:r>
            <w:r>
              <w:rPr>
                <w:rFonts w:ascii="DejaVu Serif" w:hAnsi="DejaVu Serif" w:eastAsia="Noto Sans CJK SC"/>
                <w:b/>
                <w:bCs/>
                <w:color w:val="000000"/>
                <w:sz w:val="19"/>
              </w:rPr>
              <w:t xml:space="preserve">wage income</w:t>
            </w:r>
            <w:r>
              <w:rPr>
                <w:rFonts w:ascii="DejaVu Serif" w:hAnsi="DejaVu Serif" w:eastAsia="Noto Sans CJK SC"/>
                <w:b/>
                <w:bCs/>
                <w:color w:val="000000"/>
                <w:sz w:val="19"/>
              </w:rPr>
              <w:t xml:space="preserve">”</w:t>
            </w:r>
            <w:r>
              <w:rPr>
                <w:rFonts w:ascii="DejaVu Serif" w:hAnsi="DejaVu Serif" w:eastAsia="Noto Sans CJK SC"/>
                <w:b/>
                <w:bCs/>
                <w:color w:val="000000"/>
                <w:sz w:val="19"/>
              </w:rPr>
              <w:t xml:space="preserve"> </w:t>
            </w:r>
            <w:r>
              <w:rPr>
                <w:rFonts w:ascii="DejaVu Serif" w:hAnsi="DejaVu Serif" w:eastAsia="Noto Sans CJK SC"/>
                <w:b/>
                <w:bCs/>
                <w:color w:val="000000"/>
                <w:sz w:val="19"/>
              </w:rPr>
              <w:t xml:space="preserve">calculated based on labor hours in principle</w:t>
            </w:r>
            <w:r>
              <w:rPr>
                <w:rFonts w:ascii="DejaVu Serif" w:hAnsi="DejaVu Serif" w:eastAsia="Noto Sans CJK SC"/>
                <w:color w:val="000000"/>
                <w:sz w:val="19"/>
              </w:rPr>
              <w:t xml:space="preserve">. This is the concentrated embodiment of the spirit of this Charter: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opposing personal attachment and advocating independent entrepreneurship.</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The exceptions in this Article (extreme threat to survival or life with no other channels) are expedient measures for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extreme circumstances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 must be strictly controlled. This Article is connected in spirit with Article 10 【Mission】, Article 58 【Essence of Wages】, and Article 63 【Financial Ark Stage】—this life’s profession is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creating assets that can operate automatically,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not sustaining itself by selling time. All references to historical terms such as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wage labor</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working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are reproduced verbatim to show comparison and are exempt under the对照表 (comparison table) rules.</w:t>
            </w:r>
          </w:p>
        </w:tc>
      </w:tr>
      <w:tr>
        <w:tc>
          <w:tcPr/>
          <w:p>
            <w:pPr>
              <w:pStyle w:val="Compact"/>
              <w:spacing w:after="40" w:line="288" w:lineRule="auto"/>
              <w:jc w:val="left"/>
            </w:pPr>
            <w:r>
              <w:rPr>
                <w:rFonts w:ascii="DejaVu Serif" w:hAnsi="DejaVu Serif" w:eastAsia="Noto Sans CJK SC"/>
                <w:b/>
                <w:bCs/>
                <w:color w:val="C00000"/>
                <w:sz w:val="19"/>
              </w:rPr>
              <w:t xml:space="preserve">【Legislative History】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main text of this Article contains historical terms such as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wage labor,</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all of which shall be understood in accordance with the exemption rules of the TERM-REVIEW-001 comparison table.</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10, Article 58, Article 63, Article 8-3, Article 21.</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03"/>
    <w:bookmarkStart w:id="104" w:name="article-58-the-essence-of-wages"/>
    <w:p>
      <w:pPr>
        <w:pStyle w:val="Heading3"/>
        <w:spacing w:after="120" w:line="312" w:lineRule="auto"/>
        <w:jc w:val="left"/>
      </w:pPr>
      <w:r>
        <w:rPr>
          <w:rFonts w:ascii="DejaVu Serif" w:hAnsi="DejaVu Serif" w:eastAsia="Noto Serif CJK SC"/>
          <w:color w:val="000000"/>
          <w:sz w:val="26"/>
        </w:rPr>
        <w:t xml:space="preserve">Article 58 【The Essence of Wages】</w:t>
      </w:r>
    </w:p>
    <w:p>
      <w:pPr>
        <w:pStyle w:val="FirstParagraph"/>
        <w:spacing w:after="120" w:line="312" w:lineRule="auto"/>
      </w:pPr>
      <w:r>
        <w:rPr>
          <w:rFonts w:ascii="DejaVu Serif" w:hAnsi="DejaVu Serif" w:eastAsia="Noto Serif CJK SC"/>
          <w:color w:val="000000"/>
          <w:sz w:val="22"/>
        </w:rPr>
        <w:t xml:space="preserve">The essence of wages is that the boss entrepreneur spends money and currency to purchase the time, energy, and plans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bottom-level people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to maintain their own life.</w:t>
      </w:r>
    </w:p>
    <w:tbl>
      <w:tblPr>
        <w:tblStyle w:val="Table"/>
        <w:tblW w:type="pct" w:w="5011"/>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7"/>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essence of wages is that the entrepreneur spends money and currency to purchase the time, energy, and plans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bottom-level people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to maintain their own life.</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reveals from an essentialist perspective that</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wages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are the consideration for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purchasing others’ time, energy, and plans,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 demonstrates the economic philosophy of this life: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not sustaining oneself by selling time.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By clarifying the essence of wages, one understands that the way out for this life is to</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transform from being purchased to being the purchaser</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20 【Core Asset Creation】). This Article, together with Articles 57 and 10, constitutes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economic identity consciousness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this life. All references to historical terms such as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boss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bottom-level people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are reproduced verbatim to show comparison.</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10, Article 20, Article 57, Article 63.</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04"/>
    <w:bookmarkStart w:id="105" w:name="X9c1d015932c667532802dbf4688b630bcad4e97"/>
    <w:p>
      <w:pPr>
        <w:pStyle w:val="Heading3"/>
        <w:spacing w:after="120" w:line="312" w:lineRule="auto"/>
        <w:jc w:val="left"/>
      </w:pPr>
      <w:r>
        <w:rPr>
          <w:rFonts w:ascii="DejaVu Serif" w:hAnsi="DejaVu Serif" w:eastAsia="Noto Serif CJK SC"/>
          <w:color w:val="000000"/>
          <w:sz w:val="26"/>
        </w:rPr>
        <w:t xml:space="preserve">Article 59 【The General Model of Business Development】</w:t>
      </w:r>
    </w:p>
    <w:p>
      <w:pPr>
        <w:pStyle w:val="FirstParagraph"/>
        <w:spacing w:after="120" w:line="312" w:lineRule="auto"/>
      </w:pPr>
      <w:r>
        <w:rPr>
          <w:rFonts w:ascii="DejaVu Serif" w:hAnsi="DejaVu Serif" w:eastAsia="Noto Serif CJK SC"/>
          <w:color w:val="000000"/>
          <w:sz w:val="22"/>
        </w:rPr>
        <w:t xml:space="preserve">Business system development: Human Demand (Opportunity) Discovery Period – Project Design Period – Founder’s Personal Command Period – Customer Free Entry Period (Project Validation Period, Low Price or Free) – 1v1 Low-Price Service Period – 1vN Price-Increase Service Period – 1vN Training Course Period (Standardization Period) – Membership Club Review Period – Business Scaling Period – Business Capitalization Period – Cash Exit Period.</w:t>
      </w:r>
    </w:p>
    <w:tbl>
      <w:tblPr>
        <w:tblStyle w:val="Table"/>
        <w:tblW w:type="pct" w:w="5011"/>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7"/>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Business System Development: Human Need (Opportunity) Discovery Phase — Project Design Phase — Founder’s Personal Leadership Phase — Client Free Entry Phase (Project Validation Phase with Low Price or Free) — 1v1 Low-Price Service Phase — 1vN Price-Increase Service Phase — 1vN Course Training Phase (Standardization Phase) — Audit Membership Club Phase — Business Scaling Phase — Business Capitalization Phase — Monetization Exit Phase.</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Universal Model of Business Development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the eleven stages from need discovery to capitalization exit, serving as the standard roadmap for my own entrepreneurship.</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model, when cross-referenced with Article 8-2 【Directional Order】, Article 54 【Focus in Each Phase】, and Article 63 【Financial Ark Phase】, collectively constructs the growth diagram of my personal</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Business-Life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double helix.</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8-2, Article 54, Article 63, Article 107.</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05"/>
    <w:bookmarkStart w:id="106" w:name="X44ad3b9f5709bb3824a14a504925c9a2f2cb87b"/>
    <w:p>
      <w:pPr>
        <w:pStyle w:val="Heading3"/>
        <w:spacing w:after="120" w:line="312" w:lineRule="auto"/>
        <w:jc w:val="left"/>
      </w:pPr>
      <w:r>
        <w:rPr>
          <w:rFonts w:ascii="DejaVu Serif" w:hAnsi="DejaVu Serif" w:eastAsia="Noto Serif CJK SC"/>
          <w:color w:val="000000"/>
          <w:sz w:val="26"/>
        </w:rPr>
        <w:t xml:space="preserve">Article 60 【The Essence of the Cyclical Return of All Human Activities】</w:t>
      </w:r>
    </w:p>
    <w:p>
      <w:pPr>
        <w:pStyle w:val="FirstParagraph"/>
        <w:spacing w:after="120" w:line="312" w:lineRule="auto"/>
      </w:pPr>
      <w:r>
        <w:rPr>
          <w:rFonts w:ascii="DejaVu Serif" w:hAnsi="DejaVu Serif" w:eastAsia="Noto Serif CJK SC"/>
          <w:color w:val="000000"/>
          <w:sz w:val="22"/>
        </w:rPr>
        <w:t xml:space="preserve">The essence of all human activities is to manipulate the hearts, minds, natures, concepts (self-consistent closed loops), emotions, desires, and visions of others; nothing more. The higher one goes (especially to the level of national number one leaders), the more this is true; their institutional design often incorporates human nature as a switch within the system.</w:t>
      </w:r>
    </w:p>
    <w:tbl>
      <w:tblPr>
        <w:tblStyle w:val="Table"/>
        <w:tblW w:type="pct" w:w="5013"/>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0"/>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essence of all human activities is to manipulate the hearts, minds, natures, concepts (self-consistent closed loops), emotions, desires, and visions of others; nothing more. The higher one goes (especially to the level of national number one leaders), the more this is true; their institutional design often incorporates human nature as a switch within the system.</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reveals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Cycle of Human Activities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through essentialism — in essence, all revolve around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hearts and minds, concepts and emotions, desires and visions,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with this being especially true at higher levels; the genius of institutions lies in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using human nature as the switch.</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is connected to Article 45 【Attribution to Persons】, Article 50 【Essence of Cycles】, and Article 52 【Logical Closed Loop】, serving as the cognitive basis for my ability to</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penetrate human nature and be adept at strategic planning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(Item (24) of Article 2).</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45, Article 50, Article 52, Article 71.</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06"/>
    <w:bookmarkStart w:id="107" w:name="X099970bf3e4eebb2702cbc2bc125c037c9c3831"/>
    <w:p>
      <w:pPr>
        <w:pStyle w:val="Heading3"/>
        <w:spacing w:after="120" w:line="312" w:lineRule="auto"/>
        <w:jc w:val="left"/>
      </w:pPr>
      <w:r>
        <w:rPr>
          <w:rFonts w:ascii="DejaVu Serif" w:hAnsi="DejaVu Serif" w:eastAsia="Noto Serif CJK SC"/>
          <w:color w:val="000000"/>
          <w:sz w:val="26"/>
        </w:rPr>
        <w:t xml:space="preserve">Article 61 【Negative List of Themes for Organizing Activities】</w:t>
      </w:r>
    </w:p>
    <w:p>
      <w:pPr>
        <w:pStyle w:val="FirstParagraph"/>
        <w:spacing w:after="120" w:line="312" w:lineRule="auto"/>
      </w:pPr>
      <w:r>
        <w:rPr>
          <w:rFonts w:ascii="DejaVu Serif" w:hAnsi="DejaVu Serif" w:eastAsia="Noto Serif CJK SC"/>
          <w:color w:val="000000"/>
          <w:sz w:val="22"/>
        </w:rPr>
        <w:t xml:space="preserve">To ensure freedom, the following activities, when organized with the purpose or intent of a themed activity, shall not be permitted unless criminal law makes corresponding amendments: (1) Those that split the state; (2) Those that subvert the current administration; (3) Those that overthrow the current socio-political system; (4) Those that establish or operate organizations of a criminal nature; (5) Those that establish organizations of an extremist nature; (6) Those related to prostitution;</w:t>
      </w:r>
    </w:p>
    <w:p>
      <w:pPr>
        <w:pStyle w:val="Compact"/>
        <w:numPr>
          <w:ilvl w:val="0"/>
          <w:numId w:val="1016"/>
        </w:numPr>
        <w:spacing w:after="120" w:line="312" w:lineRule="auto"/>
      </w:pPr>
      <w:r>
        <w:rPr>
          <w:rFonts w:ascii="DejaVu Serif" w:hAnsi="DejaVu Serif" w:eastAsia="Noto Serif CJK SC"/>
          <w:color w:val="000000"/>
          <w:sz w:val="22"/>
        </w:rPr>
        <w:t xml:space="preserve">Those that illegally cross national borders; (8) Those that escape from prison; (9) Those that constitute illegal assembly as stipulated in the Criminal Law; (10) Those that traffic in women or children; (11) Those involving international gambling (gambling abroad); (12) Those that use impersonation to obtain specific qualifications or benefits provided by politicians under the concept and name of the state; (13) Those involving illegal smuggling; (14) Those that organize cult activities with the core intent of undermining the implementation of laws or that could cause serious injury or death; (15) 【Legal and regulatory compliance requirements omitted】*** (Note: Newly added sensitive negative activity types, marked according to confidentiality rules) (16) 【Legal and regulatory compliance requirements omitted】*** (Note: Newly added sensitive negative activity types, marked according to confidentiality rules) *#This clause supplements sensitive negative activity types based on the original text, and according to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Sensitive Content Confidentiality Rules,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handles as confidential unlisted types that may involve illegal activities to avoid compliance risks #</w:t>
      </w:r>
    </w:p>
    <w:tbl>
      <w:tblPr>
        <w:tblStyle w:val="Table"/>
        <w:tblW w:type="pct" w:w="5004"/>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6"/>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To ensure freedom, the following activities, when organized with the purpose or intent of a themed activity, shall not be permitted unless criminal law makes corresponding amendments: (1) Those that split the state; (2) Those that subvert the current administration; (3) Those that overthrow the current socio-political system; (4) Those that establish or operate organizations of a criminal nature; (5) Those that establish organizations of an extremist nature; (6) Those related to prostitution; (7) Those that illegally cross national borders; (8) Those that escape from prison; (9) Those that constitute illegal assembly as stipulated in the Criminal Law; (10) Those that traffic in women or children; (11) Those involving international gambling (gambling abroad); (12) Those that use impersonation to obtain specific qualifications or benefits provided by politicians under the concept and name of the state; (13) Those involving illegal smuggling; (14) Those that organize cult activities with the core intent of undermining the implementation of laws or that could cause serious injury or death; (15) 〔Legal and regulatory compliance requirements omitted〕.</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Negative List for Activity Organization,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comprising over ten items, which are absolutely prohibited activities. The legislative intent is to use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legal prohibition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a boundary to protect my personal freedom and security.</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list corresponds with Article 12, Article 13-2 (Prohibited Behaviors), Article 98 【Ultimate Bottom Line】, and Annex A.08.001 【Binary Iron Law of Organization and Participation】, collectively constructing my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Boundary Protection System.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Any organization I establish must also not violate this Article (according to Article 6 of Annex A.08.001).</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13-2, Article 98, Article 144, Annex A.08.001.</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07"/>
    <w:bookmarkStart w:id="108" w:name="Xdbd26a394e4eba3cb578e1b5ce236b437cb49e6"/>
    <w:p>
      <w:pPr>
        <w:pStyle w:val="Heading3"/>
        <w:spacing w:after="120" w:line="312" w:lineRule="auto"/>
        <w:jc w:val="left"/>
      </w:pPr>
      <w:r>
        <w:rPr>
          <w:rFonts w:ascii="DejaVu Serif" w:hAnsi="DejaVu Serif" w:eastAsia="Noto Serif CJK SC"/>
          <w:color w:val="000000"/>
          <w:sz w:val="26"/>
        </w:rPr>
        <w:t xml:space="preserve">Article 62 【Division of the Macro Periods of Life】</w:t>
      </w:r>
    </w:p>
    <w:p>
      <w:pPr>
        <w:pStyle w:val="FirstParagraph"/>
        <w:spacing w:after="120" w:line="312" w:lineRule="auto"/>
      </w:pPr>
      <w:r>
        <w:rPr>
          <w:rFonts w:ascii="DejaVu Serif" w:hAnsi="DejaVu Serif" w:eastAsia="Noto Serif CJK SC"/>
          <w:color w:val="000000"/>
          <w:sz w:val="22"/>
        </w:rPr>
        <w:t xml:space="preserve">Childhood Era – First Student Era (with the core essential purposes of cognitive enhancement, endorsement of trust, shaping of influence, and transformation of social circles) – Era centered on Operation 【Era of Initial Sojourn and Residence】– Era centered on Capital —- Era of Complete Financial Freedom - - Second Student Era (for study and research, re-study abroad, study tours)– Post-Financial Freedom Era ……</w:t>
      </w:r>
    </w:p>
    <w:tbl>
      <w:tblPr>
        <w:tblStyle w:val="Table"/>
        <w:tblW w:type="pct" w:w="5013"/>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0"/>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Childhood Era — First Student Era (with the core essential purposes of cognitive enhancement, trust endorsement, influence shaping, and circle transformation) — Era Centered on Operation [Era of Commencing Sojourns] — Era Centered on Capital — Era of Complete Financial Freedom — Second Student Era (research study, re-study abroad, study tours) — Post-Financial Freedom Era…</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【Discussion】It is discussed that this Article divides life into several</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macro-periods,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demonstrating the long-term planning of this life as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rhythmic and phased.</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states: Each period has its own core tasks, which should be cross-referenced with Article 63 [Financial Ark Phase] and Article 54 [Focus on Each Phase]. This Article embodies the Charter-Maker’s philosophy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long-termism with measured tension and relaxation.</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54, Article 63, Article 70.</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08"/>
    <w:bookmarkStart w:id="109" w:name="X8ce45aa6385335cd39af65dd07bf4db90b235f7"/>
    <w:p>
      <w:pPr>
        <w:pStyle w:val="Heading3"/>
        <w:spacing w:after="120" w:line="312" w:lineRule="auto"/>
        <w:jc w:val="left"/>
      </w:pPr>
      <w:r>
        <w:rPr>
          <w:rFonts w:ascii="DejaVu Serif" w:hAnsi="DejaVu Serif" w:eastAsia="Noto Serif CJK SC"/>
          <w:color w:val="000000"/>
          <w:sz w:val="26"/>
        </w:rPr>
        <w:t xml:space="preserve">Article 63 【Division of the Macro Periods and Stages of Building the Financial Ark】</w:t>
      </w:r>
    </w:p>
    <w:p>
      <w:pPr>
        <w:pStyle w:val="FirstParagraph"/>
        <w:spacing w:after="120" w:line="312" w:lineRule="auto"/>
      </w:pPr>
      <w:r>
        <w:rPr>
          <w:rFonts w:ascii="DejaVu Serif" w:hAnsi="DejaVu Serif" w:eastAsia="Noto Serif CJK SC"/>
          <w:color w:val="000000"/>
          <w:sz w:val="22"/>
        </w:rPr>
        <w:t xml:space="preserve">Working for others – The era of working alone for oneself (selling single units of time – folding time – replicating multiple units of time: through creating courses, subscription services, membership cards, etc.) – The era of collectivization (the era of hiring others to work for oneself) – The era of automation (self-detachment) – The era of capital operations (using currency to obtain more currency – the era of currency doubling) – The era of establishing private funds and retiring – The era of authoring treatises and establishing doctrines</w:t>
      </w:r>
    </w:p>
    <w:tbl>
      <w:tblPr>
        <w:tblStyle w:val="Table"/>
        <w:tblW w:type="pct" w:w="5009"/>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4"/>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Working for others—the era of working alone for oneself (selling single units of time—folding time—replicating multiple units of time: through methods such as creating courses, subscription services, membership cards, etc.)—the era of team formation (the era of hiring others to work for oneself)—the era of automation (self-detachment)—the era of capital operation (using currency to obtain more currency—the era of currency doubling)—the era of establishing and retiring from private funds—the era of authoring books and establishing doctrines.</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【Discussion】It is discussed that this Article establishes the construction ladder of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Financial Ark</w:t>
            </w:r>
            <w:r>
              <w:rPr>
                <w:rFonts w:ascii="DejaVu Serif" w:hAnsi="DejaVu Serif" w:eastAsia="Noto Sans CJK SC"/>
                <w:color w:val="000000"/>
                <w:sz w:val="19"/>
              </w:rPr>
              <w:t xml:space="preserve">”</w:t>
            </w:r>
            <w:r>
              <w:rPr>
                <w:rFonts w:ascii="DejaVu Serif" w:hAnsi="DejaVu Serif" w:eastAsia="Noto Sans CJK SC"/>
                <w:color w:val="000000"/>
                <w:sz w:val="19"/>
              </w:rPr>
              <w:t xml:space="preserve">—from</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working for others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to</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automation,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capital operations,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private equity,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authorship</w:t>
            </w:r>
            <w:r>
              <w:rPr>
                <w:rFonts w:ascii="DejaVu Serif" w:hAnsi="DejaVu Serif" w:eastAsia="Noto Sans CJK SC"/>
                <w:color w:val="000000"/>
                <w:sz w:val="19"/>
              </w:rPr>
              <w:t xml:space="preserve">”</w:t>
            </w:r>
            <w:r>
              <w:rPr>
                <w:rFonts w:ascii="DejaVu Serif" w:hAnsi="DejaVu Serif" w:eastAsia="Noto Sans CJK SC"/>
                <w:color w:val="000000"/>
                <w:sz w:val="19"/>
              </w:rPr>
              <w:t xml:space="preserve">—demonstrating the financial evolutionary path of this life,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from labor to capital, from personal effort to automation.</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【Discussion】It is discussed that this Article shall be cross-referenced with Article 57 [Sources of Income], Article 59 [Business Model], and Article 62 [Life Periods]. All references to historical terms such as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employment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shall be explicitly understood, in accordance with the terminology of the Charter, as cooperative and collaborative relationships.</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Articles 57, 59, 62, and 21.</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09"/>
    <w:bookmarkStart w:id="110" w:name="Xdbef4223a851fbaa62323c211ab156cf6f822ac"/>
    <w:p>
      <w:pPr>
        <w:pStyle w:val="Heading3"/>
        <w:spacing w:after="120" w:line="312" w:lineRule="auto"/>
        <w:jc w:val="left"/>
      </w:pPr>
      <w:r>
        <w:rPr>
          <w:rFonts w:ascii="DejaVu Serif" w:hAnsi="DejaVu Serif" w:eastAsia="Noto Serif CJK SC"/>
          <w:color w:val="000000"/>
          <w:sz w:val="26"/>
        </w:rPr>
        <w:t xml:space="preserve">Article 64 【Enumeration of General Action-Principle Models】</w:t>
      </w:r>
    </w:p>
    <w:p>
      <w:pPr>
        <w:pStyle w:val="FirstParagraph"/>
        <w:spacing w:after="120" w:line="312" w:lineRule="auto"/>
      </w:pPr>
      <w:r>
        <w:rPr>
          <w:rFonts w:ascii="DejaVu Serif" w:hAnsi="DejaVu Serif" w:eastAsia="Noto Serif CJK SC"/>
          <w:color w:val="000000"/>
          <w:sz w:val="22"/>
        </w:rPr>
        <w:t xml:space="preserve">In principle, actions shall be planned, organized, and implemented on the basis of not violating the provisions related to imprisonment with a fixed term of 10 years or more to life imprisonment, life deprivation of political rights, or confiscation of property (for specific content, see Annex 1), except in the following cases: (1) Where, in order to safeguard long-term interests and the principle of long-termism, medium and short-term interests are abandoned for long-term interests, and the strategic development policy for life stages is changed through specific analysis of specific issues, guided by ultimate goals; (2) Where the planning or action policy is changed in order to comply with mandatory and severely punitive provisions of agreements or contracts; (3) Where the planning or action policy is changed in order to comply with resolutions of the shareholders’ meeting, established by the members of the corporate legal entity itself and based on the good-faith consensus of core shareholders; (4) Where the planning or action policy is changed in order to comply with resolutions of the shareholders’ meeting, jointly established with parties from the capital side and financial institutions and based on the good-faith consensus of all parties; (5) Other cases that, upon review, are deemed to require specific analysis of specific issues.</w:t>
      </w:r>
    </w:p>
    <w:tbl>
      <w:tblPr>
        <w:tblStyle w:val="Table"/>
        <w:tblW w:type="pct" w:w="5004"/>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5"/>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principle, actions shall be planned, organized, and implemented on the basis of not violating articles related to imprisonment with a statutory maximum sentence of 10 years or more, life imprisonment, permanent deprivation of political rights, or confiscation of property, except in the following cases: (1) Where, in order to safeguard long-term interests and the principle of long-termism, medium and short-term interests are abandoned for long-term interests, and the strategic development policy for life stages is specifically analyzed and changed in accordance with terminal objectives; (2) Where the planning or action policy is changed in order to comply with mandatory and severely punitive provisions of agreements or contracts; (3) Where the planning or action policy is changed in order to comply with resolutions of the shareholders’ meeting, established by the members of the corporate legal entity itself and based on the good-faith consensus of core shareholders; (4) Where the planning or action policy is changed in order to comply with resolutions of the shareholders’ meeting, jointly established with parties from the capital side and financial institutions and based on the good-faith consensus of all parties; (5) Other cases, upon review, deemed to require specific analysis of specific circumstances… (The full text shall be taken as the authentic text).</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【Discussion】It is discussed herein: 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Bottom Line and Exceptions for General Principles of Action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bottom line being that no punishment of ten years or more, life imprisonment, deprivation of political rights, or confiscation of property shall be violated, with exceptions such as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long-term interests, mandatory agreements, and shareholder consensus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being adjustable.</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【Discussion】It states: This Article, in conjunction with Articles 12 to 16 (Life Bottom Line), Article 65 【Action Procedure】, and Article 125 【Legal Revision Response】, serves as the general principle for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Bottom Line-Flexibility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my actions.</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Articles 12 to 16, Article 65, Article 125.</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10"/>
    <w:bookmarkStart w:id="111" w:name="article-65-general-action-procedures"/>
    <w:p>
      <w:pPr>
        <w:pStyle w:val="Heading3"/>
        <w:spacing w:after="120" w:line="312" w:lineRule="auto"/>
        <w:jc w:val="left"/>
      </w:pPr>
      <w:r>
        <w:rPr>
          <w:rFonts w:ascii="DejaVu Serif" w:hAnsi="DejaVu Serif" w:eastAsia="Noto Serif CJK SC"/>
          <w:color w:val="000000"/>
          <w:sz w:val="26"/>
        </w:rPr>
        <w:t xml:space="preserve">Article 65 【General Action Procedures】</w:t>
      </w:r>
    </w:p>
    <w:p>
      <w:pPr>
        <w:pStyle w:val="FirstParagraph"/>
        <w:spacing w:after="120" w:line="312" w:lineRule="auto"/>
      </w:pPr>
      <w:r>
        <w:rPr>
          <w:rFonts w:ascii="DejaVu Serif" w:hAnsi="DejaVu Serif" w:eastAsia="Noto Serif CJK SC"/>
          <w:color w:val="000000"/>
          <w:sz w:val="22"/>
        </w:rPr>
        <w:t xml:space="preserve">People-centered, using thinking models and rational analysis for open decision-making, with no completely universal, specific, procedural, given program.</w:t>
      </w:r>
    </w:p>
    <w:tbl>
      <w:tblPr>
        <w:tblStyle w:val="Table"/>
        <w:tblW w:type="pct" w:w="5020"/>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50"/>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People-centered, using thinking models and rational analysis for open decision-making, with no completely universal, specific, procedural, given program.</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【Discussion】It states: This Article declares that my actions have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no fixed procedure,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 only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people-centered, thinking models, rational analysis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serve as the method for open decision-making.</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【Discussion】It states: This Article is connected with Article 25 【One Matter, One Discussion】 and Article 75 【Thinking Model Decision-Making】, demonstrating my style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flexible decision-making under the guidance of principles.</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25, Article 74, Article 75.</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11"/>
    <w:bookmarkStart w:id="112" w:name="X0252f2f17bdb3eda9b0ff0f9a843a0cd596fa04"/>
    <w:p>
      <w:pPr>
        <w:pStyle w:val="Heading3"/>
        <w:spacing w:after="120" w:line="312" w:lineRule="auto"/>
        <w:jc w:val="left"/>
      </w:pPr>
      <w:r>
        <w:rPr>
          <w:rFonts w:ascii="DejaVu Serif" w:hAnsi="DejaVu Serif" w:eastAsia="Noto Serif CJK SC"/>
          <w:color w:val="000000"/>
          <w:sz w:val="26"/>
        </w:rPr>
        <w:t xml:space="preserve">Article 66 【The Stage-by-Stage Application of Reference Action Models, Thinking, Cognition and Modes of Thought for Operational and Capital Activities】</w:t>
      </w:r>
    </w:p>
    <w:p>
      <w:pPr>
        <w:numPr>
          <w:ilvl w:val="0"/>
          <w:numId w:val="1017"/>
        </w:numPr>
        <w:spacing w:after="120" w:line="312" w:lineRule="auto"/>
      </w:pPr>
      <w:r>
        <w:rPr>
          <w:rFonts w:ascii="DejaVu Serif" w:hAnsi="DejaVu Serif" w:eastAsia="Noto Serif CJK SC"/>
          <w:color w:val="000000"/>
          <w:sz w:val="22"/>
        </w:rPr>
        <w:t xml:space="preserve">Before achieving the annual ten million income target: ① Action Planning (MVP – Business Modeling) – ② Legal Review (first including criminal liability ceiling review, then including civil liability ceiling review, and finally possibly including specific laws and regulations liability ceiling review *) – ③ Industry Regulation Review – ④ Contract and Agreement Clause Review – ⑤ Taking Action – ⑥ Reflection and Summary – ⑦ Review and Formulate Text</w:t>
      </w:r>
    </w:p>
    <w:p>
      <w:pPr>
        <w:numPr>
          <w:ilvl w:val="0"/>
          <w:numId w:val="1017"/>
        </w:numPr>
        <w:spacing w:after="120" w:line="312" w:lineRule="auto"/>
      </w:pPr>
      <w:r>
        <w:rPr>
          <w:rFonts w:ascii="DejaVu Serif" w:hAnsi="DejaVu Serif" w:eastAsia="Noto Serif CJK SC"/>
          <w:color w:val="000000"/>
          <w:sz w:val="22"/>
        </w:rPr>
        <w:t xml:space="preserve">After achieving the annual ten million income target: ① Action Planning (MVP – Business Modeling) – ② Legal Review (first including criminal liability ceiling review, then including civil liability ceiling review, and finally possibly including specific laws and regulations liability ceiling review</w:t>
      </w:r>
      <w:r>
        <w:rPr>
          <w:rFonts w:ascii="DejaVu Serif" w:hAnsi="DejaVu Serif" w:eastAsia="Noto Serif CJK SC"/>
          <w:color w:val="000000"/>
          <w:sz w:val="22"/>
        </w:rPr>
        <w:t xml:space="preserve"> </w:t>
      </w:r>
      <w:r>
        <w:rPr>
          <w:rFonts w:ascii="DejaVu Serif" w:hAnsi="DejaVu Serif" w:eastAsia="Noto Serif CJK SC"/>
          <w:i/>
          <w:iCs/>
          <w:color w:val="000000"/>
          <w:sz w:val="22"/>
        </w:rPr>
        <w:t xml:space="preserve">) – ③ Industry Regulation Review – ④ Ethics Review – ⑤ Contract and Agreement Clause Review – ⑥ Business Standardization – ⑦ Business Team Formation, Departmentalization, and Subdivision – ⑧ Reflection and Summary – ⑨ Review and Formulate Standardized Text (3) After achieving one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Wang Jianlin-style small goal</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① Business Model Reconstruction + Marketing Display Redesign – ② Legal Review (first including criminal liability ceiling review, then including civil liability ceiling review, and finally possibly including specific laws and regulations liability ceiling review</w:t>
      </w:r>
      <w:r>
        <w:rPr>
          <w:rFonts w:ascii="DejaVu Serif" w:hAnsi="DejaVu Serif" w:eastAsia="Noto Serif CJK SC"/>
          <w:i/>
          <w:iCs/>
          <w:color w:val="000000"/>
          <w:sz w:val="22"/>
        </w:rPr>
        <w:t xml:space="preserve"> </w:t>
      </w:r>
      <w:r>
        <w:rPr>
          <w:rFonts w:ascii="DejaVu Serif" w:hAnsi="DejaVu Serif" w:eastAsia="Noto Serif CJK SC"/>
          <w:color w:val="000000"/>
          <w:sz w:val="22"/>
        </w:rPr>
        <w:t xml:space="preserve">) – ③ Industry Regulation Review – ④ Ethics Review – ⑤ Contract and Agreement Clause Review – ⑥ Taking Action – ⑦ Reflection and Summary – ⑧ Review and Formulate Text (4) After achieving ten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Wang Jianlin-style small goals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① Equity Design and Equity Investment – Business Model Reconstruction – ② Legal Review (first including criminal liability ceiling review, then including civil liability ceiling review, and finally possibly including specific laws and regulations liability ceiling review) – ③ Industry Regulation Review – ④ Ethics Review – ⑤ Contract and Agreement Clause Review – ⑥ Strategic Direction – ⑦ Reflection and Summary – ⑧ Review and Formulate Text (5) After achieving one hundred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Wang Jianlin-style small goals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① Policy Assessment – ② Equity Design – ③ Business Model Fine-tuning – ④ Legal Review (first including criminal liability ceiling review, then including civil liability ceiling review, and finally possibly including specific laws and regulations liability ceiling review) – ⑤ Industry Regulation Review – ⑥ Ethics Review – ⑦ Contract and Agreement Clause Review – ⑧ Strategic Direction – ⑨ Reflection and Summary – ⑩ Review and Formulate Text (6) After achieving one hundred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Wang Jianlin-style small goals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National Fortune – Policy – Equity – Business Model Fine-tuning – Legal Review (first including criminal liability ceiling review, then including civil liability ceiling review, and finally possibly including specific laws and regulations liability ceiling review) – Industry Regulation Review – ⑥ Ethics Review – ⑦ Contract and Agreement Clause Review – Strategic Direction – ⑨ Reflection and Summary – ⑩ Review and Formulate Text (7) After achieving one thousand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Wang Jianlin-style small goals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Human Destiny – National Fortune – Policy – Equity – Business Model Fine-tuning – Legal Review (first including criminal liability ceiling review, then including civil liability ceiling review, and finally possibly including specific laws and regulations liability ceiling review) – Industry Regulation Review – ⑥ Ethics Review – ⑦ Contract and Agreement Clause Review – Strategic Direction – ⑨ Reflection and Summary – ⑩ Review and Formulate Text (8) – Corporate Grouping, Internationalization, Globalization, Online-ization, Digitalization, Ecologization – Conduct Portfolio Investment – Establish a global international private equity fund corporation operated by individual natural persons</w:t>
      </w:r>
    </w:p>
    <w:tbl>
      <w:tblPr>
        <w:tblStyle w:val="Table"/>
        <w:tblW w:type="pct" w:w="5021"/>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53"/>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(This Article provides reference provisions for the action models, thinking, cognition, and thought patterns of business and capital activities, applicable by stage; the full text shall be governed by the authentic text.)</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is my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Staged Thinking Guide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for business and capital activities, indicating that different stages should be matched with different thinking models.</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is cross-referenced with Article 59 【Business Model】 and Article 62 【Life Periods】, embodying my method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acting according to the time.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Articles 59, 62, and 74.</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12"/>
    <w:bookmarkStart w:id="113" w:name="X033b24335a54bf4998ba3ca1d4ba322e7fa2c43"/>
    <w:p>
      <w:pPr>
        <w:pStyle w:val="Heading3"/>
        <w:spacing w:after="120" w:line="312" w:lineRule="auto"/>
        <w:jc w:val="left"/>
      </w:pPr>
      <w:r>
        <w:rPr>
          <w:rFonts w:ascii="DejaVu Serif" w:hAnsi="DejaVu Serif" w:eastAsia="Noto Serif CJK SC"/>
          <w:color w:val="000000"/>
          <w:sz w:val="26"/>
        </w:rPr>
        <w:t xml:space="preserve">Article 67 【Rejection of Any Negative Labeling of the Author by Others】</w:t>
      </w:r>
    </w:p>
    <w:p>
      <w:pPr>
        <w:pStyle w:val="FirstParagraph"/>
        <w:spacing w:after="120" w:line="312" w:lineRule="auto"/>
      </w:pPr>
      <w:r>
        <w:rPr>
          <w:rFonts w:ascii="DejaVu Serif" w:hAnsi="DejaVu Serif" w:eastAsia="Noto Serif CJK SC"/>
          <w:color w:val="000000"/>
          <w:sz w:val="22"/>
        </w:rPr>
        <w:t xml:space="preserve">At all times, do not label any person, including oneself and others, and even national leaders, with verbal vocabulary or any other form (including sanctification and negative labeling), for the following purposes: to encourage all parties to live positively; (1) To show respect for oneself and others; (2) To stimulate the positive motivation in human nature; (3) To develop the positive potential for learning and exploration in people (including oneself and the counterparty); (4) To be conducive to the psychological health development of people (including oneself and the counterparty); (5) All people are non-sacred, their fundamental and primary distinction lies in different ways of viewing and interpreting the world; (6) Other reasons not listed above</w:t>
      </w:r>
    </w:p>
    <w:tbl>
      <w:tblPr>
        <w:tblStyle w:val="Table"/>
        <w:tblW w:type="pct" w:w="5007"/>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0"/>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At all times, do not label any person, including oneself and others, and even national leaders, with verbal vocabulary or any other form (including sanctification and negative labeling), for the following purposes: to encourage all parties to live positively; (1) To show respect for oneself and others; (2) To stimulate the positive motivation in human nature; (3) To develop the positive potential for learning and exploration in people (including oneself and the counterparty); (4) To be conducive to the psychological health development of people (including oneself and the counterparty); (5) All people are non-sacred, their fundamental and primary distinction lies in different ways of viewing and interpreting the world…</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anti-labeling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principle—do not label people with words or any form (whether sanctification or stigmatization), to encourage all parties to live positively.</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is cross-referenced with Article 99 【Equal Attitude Towards Others】, Article 118 【Equal Respect】, and Article 115 【Independence and Individualization】, reflecting my philosophy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respect without blind obedience, equality with clarity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interactions.</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Articles 44, 99, 115, and 118.</w:t>
            </w:r>
          </w:p>
        </w:tc>
      </w:tr>
    </w:tbl>
    <w:bookmarkEnd w:id="113"/>
    <w:bookmarkEnd w:id="114"/>
    <w:bookmarkStart w:id="121" w:name="volume-7-debt-repayment-chapter"/>
    <w:p>
      <w:pPr>
        <w:pStyle w:val="Heading2"/>
        <w:spacing w:after="160" w:line="312" w:lineRule="auto"/>
        <w:jc w:val="left"/>
      </w:pPr>
      <w:r>
        <w:rPr>
          <w:rFonts w:ascii="DejaVu Serif" w:hAnsi="DejaVu Serif" w:eastAsia="Noto Serif CJK SC"/>
          <w:color w:val="000000"/>
          <w:sz w:val="30"/>
        </w:rPr>
        <w:t xml:space="preserve">Volume 7 Debt Repayment Chapter</w:t>
      </w:r>
    </w:p>
    <w:p>
      <w:pPr>
        <w:spacing w:after="120" w:line="312" w:lineRule="auto"/>
      </w:pPr>
      <w:r>
        <w:rPr>
          <w:rFonts w:ascii="DejaVu Serif" w:hAnsi="DejaVu Serif" w:eastAsia="Noto Serif CJK SC"/>
          <w:color w:val="000000"/>
          <w:sz w:val="22"/>
        </w:rPr>
        <w:pict>
          <v:rect style="width:0;height:1.5pt" o:hralign="center" o:hrstd="t" o:hr="t"/>
        </w:pict>
      </w:r>
    </w:p>
    <w:bookmarkStart w:id="115" w:name="article-68-the-essence-of-currency"/>
    <w:p>
      <w:pPr>
        <w:pStyle w:val="Heading3"/>
        <w:spacing w:after="120" w:line="312" w:lineRule="auto"/>
        <w:jc w:val="left"/>
      </w:pPr>
      <w:r>
        <w:rPr>
          <w:rFonts w:ascii="DejaVu Serif" w:hAnsi="DejaVu Serif" w:eastAsia="Noto Serif CJK SC"/>
          <w:color w:val="000000"/>
          <w:sz w:val="26"/>
        </w:rPr>
        <w:t xml:space="preserve">Article 68 【The Essence of Currency】</w:t>
      </w:r>
    </w:p>
    <w:p>
      <w:pPr>
        <w:pStyle w:val="FirstParagraph"/>
        <w:spacing w:after="120" w:line="312" w:lineRule="auto"/>
      </w:pPr>
      <w:r>
        <w:rPr>
          <w:rFonts w:ascii="DejaVu Serif" w:hAnsi="DejaVu Serif" w:eastAsia="Noto Serif CJK SC"/>
          <w:color w:val="000000"/>
          <w:sz w:val="22"/>
        </w:rPr>
        <w:t xml:space="preserve">The essence of currency is the exchange ratio of the ratio between one specific person’s wish and another specific person’s wish.</w:t>
      </w:r>
    </w:p>
    <w:tbl>
      <w:tblPr>
        <w:tblStyle w:val="Table"/>
        <w:tblW w:type="pct" w:w="5018"/>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9"/>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essence of currency is the exchange ratio of the ratio between one specific person’s wish and another specific person’s wish.</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defines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currency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an essentialist manner as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exchange ratio of wish values,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stripping away its material form to directly point to its exchange essence.</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By understanding the essence of currency, one understands that</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earning money is about fulfilling others’ wishes,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which is connected with Articles 50 and 51 【Projects Originate from Needs】 and Article 120 【Currency Earning Model】.</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Articles 50, 51, 69, and 120.</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15"/>
    <w:bookmarkStart w:id="116" w:name="X950868253514ddf613891681056d2b02f694451"/>
    <w:p>
      <w:pPr>
        <w:pStyle w:val="Heading3"/>
        <w:spacing w:after="120" w:line="312" w:lineRule="auto"/>
        <w:jc w:val="left"/>
      </w:pPr>
      <w:r>
        <w:rPr>
          <w:rFonts w:ascii="DejaVu Serif" w:hAnsi="DejaVu Serif" w:eastAsia="Noto Serif CJK SC"/>
          <w:color w:val="000000"/>
          <w:sz w:val="26"/>
        </w:rPr>
        <w:t xml:space="preserve">Article 68-2 【Basic Principles of Debt Repayment】</w:t>
      </w:r>
    </w:p>
    <w:p>
      <w:pPr>
        <w:pStyle w:val="FirstParagraph"/>
        <w:spacing w:after="120" w:line="312" w:lineRule="auto"/>
      </w:pPr>
      <w:r>
        <w:rPr>
          <w:rFonts w:ascii="DejaVu Serif" w:hAnsi="DejaVu Serif" w:eastAsia="Noto Serif CJK SC"/>
          <w:color w:val="000000"/>
          <w:sz w:val="22"/>
        </w:rPr>
        <w:t xml:space="preserve">I establish myself in the world with trust as the essential principle. For all legal debts confirmed by contract or fact, I recognize their legality and bear the obligation to repay them, never illegally abolishing or denying them. I believe that the responsibility for repayment cannot be shirked; this is the cornerstone of business activities and also a manifestation of personal integrity. *#This clause was newly added pursuant to Article 2, Paragraph 1 of the Third Amendment, clarifying</w:t>
      </w:r>
    </w:p>
    <w:p>
      <w:pPr>
        <w:pStyle w:val="BodyText"/>
        <w:spacing w:after="120" w:line="312" w:lineRule="auto"/>
      </w:pPr>
      <w:r>
        <w:rPr>
          <w:rFonts w:ascii="DejaVu Serif" w:hAnsi="DejaVu Serif" w:eastAsia="Noto Serif CJK SC"/>
          <w:color w:val="000000"/>
          <w:sz w:val="22"/>
        </w:rPr>
        <w:t xml:space="preserve">The core principles of debt settlement, in conjunction with the principle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Prudent Commitment, Utmost Good Faith</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Article 6 of this Charter, reinforce the foundation of commercial credit. #</w:t>
      </w:r>
    </w:p>
    <w:tbl>
      <w:tblPr>
        <w:tblStyle w:val="Table"/>
        <w:tblW w:type="pct" w:w="5010"/>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5"/>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 establish myself in the world with trust as the essential principle. For all legal debts confirmed by contract or fact, I recognize their legality and bear the obligation to repay them, never illegally abolishing or denying them. I believe that the responsibility for repayment cannot be shirked; this is the cornerstone of business activities and also a manifestation of personal integrity. * (This clause was newly added pursuant to Article 2, Paragraph 1 of the Third Amendment.)*</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was newly added by the Third Amendment, establishing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Basic Principles of Debt Repayment</w:t>
            </w:r>
            <w:r>
              <w:rPr>
                <w:rFonts w:ascii="DejaVu Serif" w:hAnsi="DejaVu Serif" w:eastAsia="Noto Sans CJK SC"/>
                <w:color w:val="000000"/>
                <w:sz w:val="19"/>
              </w:rPr>
              <w:t xml:space="preserve">”</w:t>
            </w:r>
            <w:r>
              <w:rPr>
                <w:rFonts w:ascii="DejaVu Serif" w:hAnsi="DejaVu Serif" w:eastAsia="Noto Sans CJK SC"/>
                <w:color w:val="000000"/>
                <w:sz w:val="19"/>
              </w:rPr>
              <w:t xml:space="preserve">—all legal debts shall be recognized and repaid, never illegally denied. This is my financial declaration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establishing myself in the world with trust,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which is in the same vein as Article 6 【Prudent Commitment, Utmost Good Faith】.</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serves as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General Principles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for debt provisions. Articles 68-3 (Graded Response), 68-4 (Expected Realization Effect), 68-5 (Evidence Fixation), and 68-6 (Prior Declaration) are its specific mechanisms. The principle is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trust,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 the mechanism is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control of malice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the two complement each other: trust for the good-willed, and law (within legal limits) for the ill-willed.</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Articles 6, 68-3 to 68-6, Article 90 【Principle of Good Faith】, and the Third Amendment (Annex A.03.001).</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16"/>
    <w:bookmarkStart w:id="117" w:name="X7e967651d3077be475c4545e16d248fafd43002"/>
    <w:p>
      <w:pPr>
        <w:pStyle w:val="Heading3"/>
        <w:spacing w:after="120" w:line="312" w:lineRule="auto"/>
        <w:jc w:val="left"/>
      </w:pPr>
      <w:r>
        <w:rPr>
          <w:rFonts w:ascii="DejaVu Serif" w:hAnsi="DejaVu Serif" w:eastAsia="Noto Serif CJK SC"/>
          <w:color w:val="000000"/>
          <w:sz w:val="26"/>
        </w:rPr>
        <w:t xml:space="preserve">Article 68-3 【Tiered Response Mechanism Based on the Creditor’s Communication Attitude】</w:t>
      </w:r>
    </w:p>
    <w:p>
      <w:pPr>
        <w:pStyle w:val="FirstParagraph"/>
        <w:spacing w:after="120" w:line="312" w:lineRule="auto"/>
      </w:pPr>
      <w:r>
        <w:rPr>
          <w:rFonts w:ascii="DejaVu Serif" w:hAnsi="DejaVu Serif" w:eastAsia="Noto Serif CJK SC"/>
          <w:color w:val="000000"/>
          <w:sz w:val="22"/>
        </w:rPr>
        <w:t xml:space="preserve">However, in order to maintain goodwill and harmony in commercial transactions and optimize transaction costs, a tiered response mechanism is established based on the creditor’s communication attitude:</w:t>
      </w:r>
      <w:r>
        <w:rPr>
          <w:rFonts w:ascii="DejaVu Serif" w:hAnsi="DejaVu Serif" w:eastAsia="Noto Serif CJK SC"/>
          <w:color w:val="000000"/>
          <w:sz w:val="22"/>
        </w:rPr>
        <w:t xml:space="preserve"> </w:t>
      </w:r>
      <w:r>
        <w:rPr>
          <w:rFonts w:ascii="DejaVu Serif" w:hAnsi="DejaVu Serif" w:eastAsia="Noto Serif CJK SC"/>
          <w:b/>
          <w:bCs/>
          <w:color w:val="000000"/>
          <w:sz w:val="22"/>
        </w:rPr>
        <w:t xml:space="preserve">Friendly Cooperation Level</w:t>
      </w:r>
      <w:r>
        <w:rPr>
          <w:rFonts w:ascii="DejaVu Serif" w:hAnsi="DejaVu Serif" w:eastAsia="Noto Serif CJK SC"/>
          <w:color w:val="000000"/>
          <w:sz w:val="22"/>
        </w:rPr>
        <w:t xml:space="preserve">—For creditors who consistently uphold goodwill and communicate rationally, repayment should be prioritized when their debts become due, or convenience in performance should be granted under equivalent conditions, in order to nurture and consolidate a positive interactive business ecosystem.</w:t>
      </w:r>
      <w:r>
        <w:rPr>
          <w:rFonts w:ascii="DejaVu Serif" w:hAnsi="DejaVu Serif" w:eastAsia="Noto Serif CJK SC"/>
          <w:color w:val="000000"/>
          <w:sz w:val="22"/>
        </w:rPr>
        <w:t xml:space="preserve"> </w:t>
      </w:r>
      <w:r>
        <w:rPr>
          <w:rFonts w:ascii="DejaVu Serif" w:hAnsi="DejaVu Serif" w:eastAsia="Noto Serif CJK SC"/>
          <w:b/>
          <w:bCs/>
          <w:color w:val="000000"/>
          <w:sz w:val="22"/>
        </w:rPr>
        <w:t xml:space="preserve">Malicious Speculation Level</w:t>
      </w:r>
      <w:r>
        <w:rPr>
          <w:rFonts w:ascii="DejaVu Serif" w:hAnsi="DejaVu Serif" w:eastAsia="Noto Serif CJK SC"/>
          <w:color w:val="000000"/>
          <w:sz w:val="22"/>
        </w:rPr>
        <w:t xml:space="preserve">—For creditors who speculate and demand repayment without factual basis, using malicious provocation, public insults, or personal defamation,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Expectation Realization Effect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principle established in Article 68-4 of this Charter shall apply. *#This clause is newly added pursuant to Article 2, Paragraph 2 of the Third Amendment. It distinguishes creditor attitudes through tiered responses, balancing friendly cooperation with risk prevention and reducing commercial communication costs.#</w:t>
      </w:r>
    </w:p>
    <w:tbl>
      <w:tblPr>
        <w:tblStyle w:val="Table"/>
        <w:tblW w:type="pct" w:w="5006"/>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8"/>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However, in order to maintain goodwill and harmony in commercial transactions and optimize transaction costs, a tiered response mechanism is established based on the creditor’s communication attitude:</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Friendly Cooperation Level</w:t>
            </w:r>
            <w:r>
              <w:rPr>
                <w:rFonts w:ascii="DejaVu Serif" w:hAnsi="DejaVu Serif" w:eastAsia="Noto Sans CJK SC"/>
                <w:color w:val="000000"/>
                <w:sz w:val="19"/>
              </w:rPr>
              <w:t xml:space="preserve">—For creditors who consistently uphold goodwill and communicate rationally, repayment should be prioritized when their debts become due, or convenience in performance should be granted under equivalent conditions, in order to nurture and consolidate a positive interactive business ecosystem;</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Malicious Speculation Level</w:t>
            </w:r>
            <w:r>
              <w:rPr>
                <w:rFonts w:ascii="DejaVu Serif" w:hAnsi="DejaVu Serif" w:eastAsia="Noto Sans CJK SC"/>
                <w:color w:val="000000"/>
                <w:sz w:val="19"/>
              </w:rPr>
              <w:t xml:space="preserve">—For creditors who speculate and demand repayment without factual basis, using malicious provocation, public insults, or personal defamation,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Expectation Realization Effect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principle established in Article 68-4 of this Charter shall apply.</w:t>
            </w:r>
            <w:r>
              <w:rPr>
                <w:rFonts w:ascii="DejaVu Serif" w:hAnsi="DejaVu Serif" w:eastAsia="Noto Sans CJK SC"/>
                <w:color w:val="000000"/>
                <w:sz w:val="19"/>
              </w:rPr>
              <w:t xml:space="preserve"> </w:t>
            </w:r>
            <w:r>
              <w:rPr>
                <w:rFonts w:ascii="DejaVu Serif" w:hAnsi="DejaVu Serif" w:eastAsia="Noto Sans CJK SC"/>
                <w:i/>
                <w:iCs/>
                <w:color w:val="000000"/>
                <w:sz w:val="19"/>
              </w:rPr>
              <w:t xml:space="preserve">(This clause is newly added pursuant to Article 2, Paragraph 2 of the Third Amendment.)</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establishes two levels of response—</w:t>
            </w:r>
            <w:r>
              <w:rPr>
                <w:rFonts w:ascii="DejaVu Serif" w:hAnsi="DejaVu Serif" w:eastAsia="Noto Sans CJK SC"/>
                <w:color w:val="000000"/>
                <w:sz w:val="19"/>
              </w:rPr>
              <w:t xml:space="preserve">“</w:t>
            </w:r>
            <w:r>
              <w:rPr>
                <w:rFonts w:ascii="DejaVu Serif" w:hAnsi="DejaVu Serif" w:eastAsia="Noto Sans CJK SC"/>
                <w:color w:val="000000"/>
                <w:sz w:val="19"/>
              </w:rPr>
              <w:t xml:space="preserve">Friendly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Malicious</w:t>
            </w:r>
            <w:r>
              <w:rPr>
                <w:rFonts w:ascii="DejaVu Serif" w:hAnsi="DejaVu Serif" w:eastAsia="Noto Sans CJK SC"/>
                <w:color w:val="000000"/>
                <w:sz w:val="19"/>
              </w:rPr>
              <w:t xml:space="preserve">”</w:t>
            </w:r>
            <w:r>
              <w:rPr>
                <w:rFonts w:ascii="DejaVu Serif" w:hAnsi="DejaVu Serif" w:eastAsia="Noto Sans CJK SC"/>
                <w:color w:val="000000"/>
                <w:sz w:val="19"/>
              </w:rPr>
              <w:t xml:space="preserve">—based on creditor attitude: priority repayment and convenience for the friendly; initiation of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Expectation Realization Effect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for the malicious. The legislative intent is to</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determine order by attitude,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guiding positive interaction.</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The establishment of this article is not to encourage default, but to</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respond to malice with rules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—treating friendly creditors with double generosity, and exercising the debtor’s right to choose the order of performance for malicious creditors (see Article 68-4). The proviso in Article 68-4 must be considered together, strictly observing statutory priority rights and contractual agreements.</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68-2, 68-4, 68-5, 68-6.</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17"/>
    <w:bookmarkStart w:id="118" w:name="X085e7f0286486d82006e330048320420c659957"/>
    <w:p>
      <w:pPr>
        <w:pStyle w:val="Heading3"/>
        <w:spacing w:after="120" w:line="312" w:lineRule="auto"/>
        <w:jc w:val="left"/>
      </w:pPr>
      <w:r>
        <w:rPr>
          <w:rFonts w:ascii="DejaVu Serif" w:hAnsi="DejaVu Serif" w:eastAsia="Noto Serif CJK SC"/>
          <w:color w:val="000000"/>
          <w:sz w:val="26"/>
        </w:rPr>
        <w:t xml:space="preserve">Article 68-4 【Application of the Principle of the Effect of Expected Realization】</w:t>
      </w:r>
    </w:p>
    <w:p>
      <w:pPr>
        <w:pStyle w:val="Compact"/>
        <w:numPr>
          <w:ilvl w:val="0"/>
          <w:numId w:val="1018"/>
        </w:numPr>
        <w:spacing w:after="120" w:line="312" w:lineRule="auto"/>
      </w:pPr>
      <w:r>
        <w:rPr>
          <w:rFonts w:ascii="DejaVu Serif" w:hAnsi="DejaVu Serif" w:eastAsia="Noto Serif CJK SC"/>
          <w:color w:val="000000"/>
          <w:sz w:val="22"/>
        </w:rPr>
        <w:t xml:space="preserve">When a creditor exhibits behavior described in Article 68-3 (2) of this Charter as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Malicious Speculation Level,</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 will initiate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Expectation Realization Effect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principle as a systematic response. (b) Core meaning: That creditor’s malicious expectation that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 intend to default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will be realized at the regulatory level in the way they least desire—that is, I will strictly exercise, to the maximum extent permitted by law, my right as a debtor to choose the order of performance, adjusting the repayment order of that creditor’s debt to the last position. (c) Proviso clause: The application of this principle must adhere to the following insurmountable bottom lines: it shall not violate the mandatory legal provisions on the repayment order of debts with statutory priority rights such as secured property rights; it shall not violate already concluded contracts regarding specified repayment deadlines to constitute statutory or contractual default. This principle adjusts only the order and timing of repayment, never the responsibility and obligation of repayment. *#This clause is newly added pursuant to Article 2, Paragraph 3 of the Third Amendment, clarifying the response rules for malicious creditors, protecting one’s own rights while strictly observing legal and contractual bottom lines to avoid default risks.#</w:t>
      </w:r>
    </w:p>
    <w:tbl>
      <w:tblPr>
        <w:tblStyle w:val="Table"/>
        <w:tblW w:type="pct" w:w="5004"/>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6"/>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 When a creditor exhibits behavior described in Article 68-3 (2) of this Charter as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Malicious Speculation Level,</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 will initiate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Expectation Realization Effect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principle as a systematic response. (b) Core meaning: That creditor’s malicious expectation that</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 intend to default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will be realized at the regulatory level in the way they least desire—that is, I will strictly exercise, to the maximum extent permitted by law, my right as a debtor to choose the order of performance, adjusting the repayment order of that creditor’s debt to the last position. (c)</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Proviso clause</w:t>
            </w:r>
            <w:r>
              <w:rPr>
                <w:rFonts w:ascii="DejaVu Serif" w:hAnsi="DejaVu Serif" w:eastAsia="Noto Sans CJK SC"/>
                <w:color w:val="000000"/>
                <w:sz w:val="19"/>
              </w:rPr>
              <w:t xml:space="preserve">: The application of this principle must adhere to the following insurmountable bottom lines: it shall not violate the mandatory legal provisions on the repayment order of debts with statutory priority rights such as secured property rights; it shall not violate already concluded contracts regarding specified repayment deadlines to constitute statutory or contractual default. This principle adjusts only the order and timing of repayment, never the responsibility and obligation of repayment.</w:t>
            </w:r>
            <w:r>
              <w:rPr>
                <w:rFonts w:ascii="DejaVu Serif" w:hAnsi="DejaVu Serif" w:eastAsia="Noto Sans CJK SC"/>
                <w:color w:val="000000"/>
                <w:sz w:val="19"/>
              </w:rPr>
              <w:t xml:space="preserve"> </w:t>
            </w:r>
            <w:r>
              <w:rPr>
                <w:rFonts w:ascii="DejaVu Serif" w:hAnsi="DejaVu Serif" w:eastAsia="Noto Sans CJK SC"/>
                <w:i/>
                <w:iCs/>
                <w:color w:val="000000"/>
                <w:sz w:val="19"/>
              </w:rPr>
              <w:t xml:space="preserve">(This clause is newly added pursuant to Article 2, Paragraph 3 of the Third Amendment.)</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Expectation Realization Effect</w:t>
            </w:r>
            <w:r>
              <w:rPr>
                <w:rFonts w:ascii="DejaVu Serif" w:hAnsi="DejaVu Serif" w:eastAsia="Noto Sans CJK SC"/>
                <w:color w:val="000000"/>
                <w:sz w:val="19"/>
              </w:rPr>
              <w:t xml:space="preserve">”</w:t>
            </w:r>
            <w:r>
              <w:rPr>
                <w:rFonts w:ascii="DejaVu Serif" w:hAnsi="DejaVu Serif" w:eastAsia="Noto Sans CJK SC"/>
                <w:color w:val="000000"/>
                <w:sz w:val="19"/>
              </w:rPr>
              <w:t xml:space="preserve">—for creditors who engage in malicious speculation, their expectation that</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 intend to default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realized</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at the regulatory level in the way they least desire (adjusting their position to last). This is a method of countering malice with rules, which is quite ingenious.</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The essence of this article lies in item 3’s</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proviso</w:t>
            </w:r>
            <w:r>
              <w:rPr>
                <w:rFonts w:ascii="DejaVu Serif" w:hAnsi="DejaVu Serif" w:eastAsia="Noto Sans CJK SC"/>
                <w:color w:val="000000"/>
                <w:sz w:val="19"/>
              </w:rPr>
              <w:t xml:space="preserve">: it must not violate statutory priority rights and contractual agreements, 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what is adjusted is only the order and timing of repayment, never the responsibility and obligation of repayment</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—that is, I always acknowledge and fulfill the obligation to repay, only adjusting the order. This article is strictly limited to legal bounds, never exceeding the law, and mutually constrains with Article 68-2’s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never illegally deny debt.</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68-2, 68-3, 68-5, 68-6.</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18"/>
    <w:bookmarkStart w:id="119" w:name="X4d5903310c59cdc2cd956e176c3f8376afbf590"/>
    <w:p>
      <w:pPr>
        <w:pStyle w:val="Heading3"/>
        <w:spacing w:after="120" w:line="312" w:lineRule="auto"/>
        <w:jc w:val="left"/>
      </w:pPr>
      <w:r>
        <w:rPr>
          <w:rFonts w:ascii="DejaVu Serif" w:hAnsi="DejaVu Serif" w:eastAsia="Noto Serif CJK SC"/>
          <w:color w:val="000000"/>
          <w:sz w:val="26"/>
        </w:rPr>
        <w:t xml:space="preserve">Article 68-5 【Preservation of Evidence and Procedural Justice】</w:t>
      </w:r>
    </w:p>
    <w:p>
      <w:pPr>
        <w:pStyle w:val="FirstParagraph"/>
        <w:spacing w:after="120" w:line="312" w:lineRule="auto"/>
      </w:pPr>
      <w:r>
        <w:rPr>
          <w:rFonts w:ascii="DejaVu Serif" w:hAnsi="DejaVu Serif" w:eastAsia="Noto Serif CJK SC"/>
          <w:color w:val="000000"/>
          <w:sz w:val="22"/>
        </w:rPr>
        <w:t xml:space="preserve">The prerequisite for applying the principles of Article 68-4 lies in the clarity of facts and the justice of procedure. It is necessary to completely fix the evidence of the creditor’s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malicious speculation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through legal forms such as recordings, screenshots, and documents. This procedure is not for provocation, but to ensure that one’s response is based on indisputable facts and rules, in preparation for verification of any form of dispute. *#This clause is newly added in accordance with paragraph 4 of Article 2 of the Third Amendment, emphasizing procedural justice, avoiding disputes through the fixation of legal evidence, and connecting with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supervision mechanism</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requirement of Article 9 of this Charter#</w:t>
      </w:r>
    </w:p>
    <w:tbl>
      <w:tblPr>
        <w:tblStyle w:val="Table"/>
        <w:tblW w:type="pct" w:w="5009"/>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4"/>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prerequisite for applying the principles of Article 68-4 lies in the clarity of facts and the justice of procedure. It is necessary to completely fix the evidence of the creditor’s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malicious speculation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through legal forms such as recordings, screenshots, and documents. This procedure is not for provocation, but to ensure that one’s response is based on indisputable facts and rules, in preparation for verification of any form of dispute.</w:t>
            </w:r>
            <w:r>
              <w:rPr>
                <w:rFonts w:ascii="DejaVu Serif" w:hAnsi="DejaVu Serif" w:eastAsia="Noto Sans CJK SC"/>
                <w:color w:val="000000"/>
                <w:sz w:val="19"/>
              </w:rPr>
              <w:t xml:space="preserve"> </w:t>
            </w:r>
            <w:r>
              <w:rPr>
                <w:rFonts w:ascii="DejaVu Serif" w:hAnsi="DejaVu Serif" w:eastAsia="Noto Sans CJK SC"/>
                <w:i/>
                <w:iCs/>
                <w:color w:val="000000"/>
                <w:sz w:val="19"/>
              </w:rPr>
              <w:t xml:space="preserve">(This clause is newly added in accordance with paragraph 4 of Article 2 of the Third Amendment.)</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establishes the procedural requirement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evidence fixation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—before applying the expected realization effect, evidence of malicious acts must be fixed by legal means. Its purpose is to</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protect rules with evidence.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The acquisition of evidence must be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legal</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(recordings, screenshots, documents, etc.), and is cross-referenced with Article 9 【Supervision Mechanism】 and Article 91 【Good Faith Exemption】. Procedural justice is the prerequisite for substantive response, reflecting the exercise of rights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in accordance with the law.</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68-4, Article 9, Article 91.</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19"/>
    <w:bookmarkStart w:id="120" w:name="Xdb6e7d777d56b7a986dd9dc87a3d69dba4cb749"/>
    <w:p>
      <w:pPr>
        <w:pStyle w:val="Heading3"/>
        <w:spacing w:after="120" w:line="312" w:lineRule="auto"/>
        <w:jc w:val="left"/>
      </w:pPr>
      <w:r>
        <w:rPr>
          <w:rFonts w:ascii="DejaVu Serif" w:hAnsi="DejaVu Serif" w:eastAsia="Noto Serif CJK SC"/>
          <w:color w:val="000000"/>
          <w:sz w:val="26"/>
        </w:rPr>
        <w:t xml:space="preserve">Article 68-6 【Declaration, Specification and Notification of the Foregoing Debt-Repayment Principles】</w:t>
      </w:r>
    </w:p>
    <w:p>
      <w:pPr>
        <w:pStyle w:val="FirstParagraph"/>
        <w:spacing w:after="120" w:line="312" w:lineRule="auto"/>
      </w:pPr>
      <w:r>
        <w:rPr>
          <w:rFonts w:ascii="DejaVu Serif" w:hAnsi="DejaVu Serif" w:eastAsia="Noto Serif CJK SC"/>
          <w:color w:val="000000"/>
          <w:sz w:val="22"/>
        </w:rPr>
        <w:t xml:space="preserve">My business principles are open and upright. At the beginning of the establishment or occurrence of a debt relationship, I may declare or inform the other party of the response principles stipulated in Articles 68-3 to 68-5 of this Charter in an appropriate manner that does not constitute a threat, stating that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attitude of communication is an important variable in the efficiency of repayment,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order to guide positive interaction from the source and reduce unnecessary friction and internal consumption. *#This clause is newly added in accordance with paragraph 5 of Article 2 of the Third Amendment, clarifying rules through prior notification to guide positive communication from the source, aligning with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long-termism</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thinking (Article 7) of this Charter#</w:t>
      </w:r>
    </w:p>
    <w:tbl>
      <w:tblPr>
        <w:tblStyle w:val="Table"/>
        <w:tblW w:type="pct" w:w="5008"/>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2"/>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My business principles are open and upright. At the beginning of the establishment or occurrence of a debt relationship, I may declare or inform the other party of the response principles stipulated in Articles 68-3 to 68-5 of this Charter in an appropriate manner that does not constitute a threat, stating that</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attitude of communication is an important variable in the efficiency of repayment,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order to guide positive interaction from the source and reduce unnecessary friction and internal consumption.</w:t>
            </w:r>
            <w:r>
              <w:rPr>
                <w:rFonts w:ascii="DejaVu Serif" w:hAnsi="DejaVu Serif" w:eastAsia="Noto Sans CJK SC"/>
                <w:color w:val="000000"/>
                <w:sz w:val="19"/>
              </w:rPr>
              <w:t xml:space="preserve"> </w:t>
            </w:r>
            <w:r>
              <w:rPr>
                <w:rFonts w:ascii="DejaVu Serif" w:hAnsi="DejaVu Serif" w:eastAsia="Noto Sans CJK SC"/>
                <w:i/>
                <w:iCs/>
                <w:color w:val="000000"/>
                <w:sz w:val="19"/>
              </w:rPr>
              <w:t xml:space="preserve">(This clause is newly added in accordance with paragraph 5 of Article 2 of the Third Amendment.)</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establishes the law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prior notification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—at the initial stage of a debt relationship, inform the other party of the aforementioned response principles in an appropriate manner to guide positive communication from the source.</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The notification must</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not constitute a threat,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demonstrating my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open and upright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business character. This article echoes Article 68-2</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establishing oneself with trust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before and after, forming a complete debt governance logic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trust—governance—notification.</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Articles 68-2 to 68-5, Article 6, Article 70.</w:t>
            </w:r>
          </w:p>
        </w:tc>
      </w:tr>
    </w:tbl>
    <w:bookmarkEnd w:id="120"/>
    <w:bookmarkEnd w:id="121"/>
    <w:bookmarkStart w:id="137" w:name="volume-8-chapter-of-mental-models"/>
    <w:p>
      <w:pPr>
        <w:pStyle w:val="Heading2"/>
        <w:spacing w:after="160" w:line="312" w:lineRule="auto"/>
        <w:jc w:val="left"/>
      </w:pPr>
      <w:r>
        <w:rPr>
          <w:rFonts w:ascii="DejaVu Serif" w:hAnsi="DejaVu Serif" w:eastAsia="Noto Serif CJK SC"/>
          <w:color w:val="000000"/>
          <w:sz w:val="30"/>
        </w:rPr>
        <w:t xml:space="preserve">Volume 8 Chapter of Mental Models</w:t>
      </w:r>
    </w:p>
    <w:p>
      <w:pPr>
        <w:spacing w:after="120" w:line="312" w:lineRule="auto"/>
      </w:pPr>
      <w:r>
        <w:rPr>
          <w:rFonts w:ascii="DejaVu Serif" w:hAnsi="DejaVu Serif" w:eastAsia="Noto Serif CJK SC"/>
          <w:color w:val="000000"/>
          <w:sz w:val="22"/>
        </w:rPr>
        <w:pict>
          <v:rect style="width:0;height:1.5pt" o:hralign="center" o:hrstd="t" o:hr="t"/>
        </w:pict>
      </w:r>
    </w:p>
    <w:bookmarkStart w:id="122" w:name="article-69-the-essence-of-finance"/>
    <w:p>
      <w:pPr>
        <w:pStyle w:val="Heading3"/>
        <w:spacing w:after="120" w:line="312" w:lineRule="auto"/>
        <w:jc w:val="left"/>
      </w:pPr>
      <w:r>
        <w:rPr>
          <w:rFonts w:ascii="DejaVu Serif" w:hAnsi="DejaVu Serif" w:eastAsia="Noto Serif CJK SC"/>
          <w:color w:val="000000"/>
          <w:sz w:val="26"/>
        </w:rPr>
        <w:t xml:space="preserve">Article 69 【The Essence of Finance】</w:t>
      </w:r>
    </w:p>
    <w:p>
      <w:pPr>
        <w:pStyle w:val="FirstParagraph"/>
        <w:spacing w:after="120" w:line="312" w:lineRule="auto"/>
      </w:pPr>
      <w:r>
        <w:rPr>
          <w:rFonts w:ascii="DejaVu Serif" w:hAnsi="DejaVu Serif" w:eastAsia="Noto Serif CJK SC"/>
          <w:color w:val="000000"/>
          <w:sz w:val="22"/>
        </w:rPr>
        <w:t xml:space="preserve">The essence of finance is the circulation of capital—the exchange of money (essentially providing the money of people with monetary surplus to people with monetary shortage at a certain interest income and agreement rules).</w:t>
      </w:r>
    </w:p>
    <w:tbl>
      <w:tblPr>
        <w:tblStyle w:val="Table"/>
        <w:tblW w:type="pct" w:w="5018"/>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8"/>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essence of finance is the circulation of capital—the exchange of money (essentially providing the money of people with monetary surplus to people with monetary shortage at a certain interest income and agreement rules).</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defines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finance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capital circulation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from an essentialist perspective, which is the cognitive basis for my engagement in finance and private equity.</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By clarifying the essence of finance, one understands that the key to the financial industry lies in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allocating funds through rules and credit,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which is cross-referenced with Article 10 【Mission】 and Article 68 【The Essence of Money】.</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10, Article 68, Article 120.</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22"/>
    <w:bookmarkStart w:id="123" w:name="article-70-long-termist-thinking"/>
    <w:p>
      <w:pPr>
        <w:pStyle w:val="Heading3"/>
        <w:spacing w:after="120" w:line="312" w:lineRule="auto"/>
        <w:jc w:val="left"/>
      </w:pPr>
      <w:r>
        <w:rPr>
          <w:rFonts w:ascii="DejaVu Serif" w:hAnsi="DejaVu Serif" w:eastAsia="Noto Serif CJK SC"/>
          <w:color w:val="000000"/>
          <w:sz w:val="26"/>
        </w:rPr>
        <w:t xml:space="preserve">Article 70 【Long-Termist Thinking】</w:t>
      </w:r>
    </w:p>
    <w:p>
      <w:pPr>
        <w:pStyle w:val="FirstParagraph"/>
        <w:spacing w:after="120" w:line="312" w:lineRule="auto"/>
      </w:pPr>
      <w:r>
        <w:rPr>
          <w:rFonts w:ascii="DejaVu Serif" w:hAnsi="DejaVu Serif" w:eastAsia="Noto Serif CJK SC"/>
          <w:color w:val="000000"/>
          <w:sz w:val="22"/>
        </w:rPr>
        <w:t xml:space="preserve">In implementing any action, long-term interests should be considered, and long-termism should be upheld.</w:t>
      </w:r>
    </w:p>
    <w:tbl>
      <w:tblPr>
        <w:tblStyle w:val="Table"/>
        <w:tblW w:type="pct" w:w="5020"/>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51"/>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implementing any action, long-term interests should be considered, and long-termism should be upheld.</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establishes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long-termism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the general principle of action—prioritizing long-term interests in all matters.</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is the concentrated declaration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long-termism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 item (20); Article 6; Article 64; Article 118) that repeatedly appears throughout this chapter, and is the time scale for all my decisions.</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6, Article 64, Article 28.</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23"/>
    <w:bookmarkStart w:id="124" w:name="Xd6eb63059e2e8b31c18123848dbcc89e91a3d6b"/>
    <w:p>
      <w:pPr>
        <w:pStyle w:val="Heading3"/>
        <w:spacing w:after="120" w:line="312" w:lineRule="auto"/>
        <w:jc w:val="left"/>
      </w:pPr>
      <w:r>
        <w:rPr>
          <w:rFonts w:ascii="DejaVu Serif" w:hAnsi="DejaVu Serif" w:eastAsia="Noto Serif CJK SC"/>
          <w:color w:val="000000"/>
          <w:sz w:val="26"/>
        </w:rPr>
        <w:t xml:space="preserve">Article 71 【Positioning-Ism and Market-Making Thinking】</w:t>
      </w:r>
    </w:p>
    <w:p>
      <w:pPr>
        <w:pStyle w:val="FirstParagraph"/>
        <w:spacing w:after="120" w:line="312" w:lineRule="auto"/>
      </w:pPr>
      <w:r>
        <w:rPr>
          <w:rFonts w:ascii="DejaVu Serif" w:hAnsi="DejaVu Serif" w:eastAsia="Noto Serif CJK SC"/>
          <w:color w:val="000000"/>
          <w:sz w:val="22"/>
        </w:rPr>
        <w:t xml:space="preserve">When engaging in any planning activity or implementing actions, one should have a mindset of resource integration and layout, adhering to the way of thinking that nothing belongs to me, but all can (can or may) be used by me.</w:t>
      </w:r>
    </w:p>
    <w:tbl>
      <w:tblPr>
        <w:tblStyle w:val="Table"/>
        <w:tblW w:type="pct" w:w="5018"/>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7"/>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When engaging in any planning activity or implementing actions, one should have a mindset of resource integration and layout, adhering to the way of thinking that nothing belongs to me, but all can (can or may) be used by me.</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establishes the thinking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layout and market-making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—focusing on resource integration and strategic planning,</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not seeking ownership, but seeking usability.</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is cross-referenced with Article 11 【Capacity for Action Without Resources】, Article 27 【Core Actions】, and Article 80 【The Essence of the Game of Life】, and constitutes the core of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light assets, heavy integration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thinking.</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11, Article 27, Article 80.</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24"/>
    <w:bookmarkStart w:id="125" w:name="article-72-altruistic-thinking"/>
    <w:p>
      <w:pPr>
        <w:pStyle w:val="Heading3"/>
        <w:spacing w:after="120" w:line="312" w:lineRule="auto"/>
        <w:jc w:val="left"/>
      </w:pPr>
      <w:r>
        <w:rPr>
          <w:rFonts w:ascii="DejaVu Serif" w:hAnsi="DejaVu Serif" w:eastAsia="Noto Serif CJK SC"/>
          <w:color w:val="000000"/>
          <w:sz w:val="26"/>
        </w:rPr>
        <w:t xml:space="preserve">Article 72 【Altruistic Thinking】</w:t>
      </w:r>
    </w:p>
    <w:p>
      <w:pPr>
        <w:pStyle w:val="FirstParagraph"/>
        <w:spacing w:after="120" w:line="312" w:lineRule="auto"/>
      </w:pPr>
      <w:r>
        <w:rPr>
          <w:rFonts w:ascii="DejaVu Serif" w:hAnsi="DejaVu Serif" w:eastAsia="Noto Serif CJK SC"/>
          <w:color w:val="000000"/>
          <w:sz w:val="22"/>
        </w:rPr>
        <w:t xml:space="preserve">When helping others, genuinely solve problems; in the process of solving problems through action, do not harbor private expectations or self-interest, achieving altruism without self.</w:t>
      </w:r>
    </w:p>
    <w:tbl>
      <w:tblPr>
        <w:tblStyle w:val="Table"/>
        <w:tblW w:type="pct" w:w="5020"/>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52"/>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When helping others, genuinely solve problems; in the process of solving problems through action, do not harbor private expectations or self-interest, achieving altruism without self.</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establishes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altruism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—helping others must be sincere, without self-interest, reaching the state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altruism without self.</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is cross-referenced with Article 73 【Win-Win Thinking】, Article 111 【Maximal Altruism】, and Article 56 【Gratitude】, and is the expression of the Charter’s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altruistic</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foundational thinking.</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73, Article 111, Article 113.</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25"/>
    <w:bookmarkStart w:id="126" w:name="article-73-win-win-thinking"/>
    <w:p>
      <w:pPr>
        <w:pStyle w:val="Heading3"/>
        <w:spacing w:after="120" w:line="312" w:lineRule="auto"/>
        <w:jc w:val="left"/>
      </w:pPr>
      <w:r>
        <w:rPr>
          <w:rFonts w:ascii="DejaVu Serif" w:hAnsi="DejaVu Serif" w:eastAsia="Noto Serif CJK SC"/>
          <w:color w:val="000000"/>
          <w:sz w:val="26"/>
        </w:rPr>
        <w:t xml:space="preserve">Article 73 【Win-Win Thinking】</w:t>
      </w:r>
    </w:p>
    <w:p>
      <w:pPr>
        <w:pStyle w:val="FirstParagraph"/>
        <w:spacing w:after="120" w:line="312" w:lineRule="auto"/>
      </w:pPr>
      <w:r>
        <w:rPr>
          <w:rFonts w:ascii="DejaVu Serif" w:hAnsi="DejaVu Serif" w:eastAsia="Noto Serif CJK SC"/>
          <w:color w:val="000000"/>
          <w:sz w:val="22"/>
        </w:rPr>
        <w:t xml:space="preserve">When making decisions, one should consider the maximum realization of all parties’ wishes, minimizing self-interest (even reaching the state of altruism without self).</w:t>
      </w:r>
    </w:p>
    <w:tbl>
      <w:tblPr>
        <w:tblStyle w:val="Table"/>
        <w:tblW w:type="pct" w:w="5020"/>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51"/>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When making decisions, one should consider the maximum realization of all parties’ wishes, minimizing self-interest (even reaching the state of altruism without self).</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establishes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win-win thinking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—decisions should be based on the maximum realization of all parties’ wishes, with minimized self-interest.</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is cross-referenced with Article 1-2 【Universal Win-Win】, Article 72 【Altruism】, and Article 35 【Equal Exchange】, forming the business ethics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altruism leading to win-win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for this person’s life.</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1-2, Article 72, Article 35.</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26"/>
    <w:bookmarkStart w:id="127" w:name="X6a5102575fb4bdc1b72c50351bab13021784e34"/>
    <w:p>
      <w:pPr>
        <w:pStyle w:val="Heading3"/>
        <w:spacing w:after="120" w:line="312" w:lineRule="auto"/>
        <w:jc w:val="left"/>
      </w:pPr>
      <w:r>
        <w:rPr>
          <w:rFonts w:ascii="DejaVu Serif" w:hAnsi="DejaVu Serif" w:eastAsia="Noto Serif CJK SC"/>
          <w:color w:val="000000"/>
          <w:sz w:val="26"/>
        </w:rPr>
        <w:t xml:space="preserve">Article 74 【The Principle of Flexibility in Invoking Techniques (Methods, Processes, Steps) and Instruments (Tools, Resources)】</w:t>
      </w:r>
    </w:p>
    <w:p>
      <w:pPr>
        <w:pStyle w:val="FirstParagraph"/>
        <w:spacing w:after="120" w:line="312" w:lineRule="auto"/>
      </w:pPr>
      <w:r>
        <w:rPr>
          <w:rFonts w:ascii="DejaVu Serif" w:hAnsi="DejaVu Serif" w:eastAsia="Noto Serif CJK SC"/>
          <w:color w:val="000000"/>
          <w:sz w:val="22"/>
        </w:rPr>
        <w:t xml:space="preserve">Anyone planning should adhere to the principle of flexibility in the application of methods (art), processes, and steps) and tools (instruments, resources). On the basis of results-orientation, one must hold fast to the essential goal (free life) unchanged. When facing non-core interests, one should handle them flexibly, and if necessary, plan on a case-by-case basis.</w:t>
      </w:r>
    </w:p>
    <w:tbl>
      <w:tblPr>
        <w:tblStyle w:val="Table"/>
        <w:tblW w:type="pct" w:w="5013"/>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0"/>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Anyone planning should adhere to the principle of flexibility in the application of methods (art), processes, and steps) and tools (instruments, resources). On the basis of results-orientation, one must hold fast to the essential goal (free life) unchanged. When facing non-core interests, one should handle them flexibly, and if necessary, plan on a case-by-case basis.</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flexibility in methods and tools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principle—methods and tools can be flexible, only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essential goal (free life)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remains unchanged.</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is cross-referenced with Article 25 【Case-by-Case Discussion】, Article 65 【No Fixed Procedures】, and demonstrates the wisdom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constant goals, flexible means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for this person’s life.</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25, Article 65, Article 81.</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27"/>
    <w:bookmarkStart w:id="128" w:name="Xa576075570983d2a3b2fa81f122179e6e2d3985"/>
    <w:p>
      <w:pPr>
        <w:pStyle w:val="Heading3"/>
        <w:spacing w:after="120" w:line="312" w:lineRule="auto"/>
        <w:jc w:val="left"/>
      </w:pPr>
      <w:r>
        <w:rPr>
          <w:rFonts w:ascii="DejaVu Serif" w:hAnsi="DejaVu Serif" w:eastAsia="Noto Serif CJK SC"/>
          <w:color w:val="000000"/>
          <w:sz w:val="26"/>
        </w:rPr>
        <w:t xml:space="preserve">Article 75 【The Principle of Decision-Making by Mental Models】</w:t>
      </w:r>
    </w:p>
    <w:p>
      <w:pPr>
        <w:pStyle w:val="FirstParagraph"/>
        <w:spacing w:after="120" w:line="312" w:lineRule="auto"/>
      </w:pPr>
      <w:r>
        <w:rPr>
          <w:rFonts w:ascii="DejaVu Serif" w:hAnsi="DejaVu Serif" w:eastAsia="Noto Serif CJK SC"/>
          <w:color w:val="000000"/>
          <w:sz w:val="22"/>
        </w:rPr>
        <w:t xml:space="preserve">This person relies on scientific and effective thinking models to make decisions, carefully examining others’ attempts to implant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conceptual anchors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(usually through verbal means), and at all times makes decisions based on one’s own and empirically valid scientific thinking models.</w:t>
      </w:r>
    </w:p>
    <w:tbl>
      <w:tblPr>
        <w:tblStyle w:val="Table"/>
        <w:tblW w:type="pct" w:w="5017"/>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6"/>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This person relies on scientific and effective thinking models to make decisions, carefully examining others’ attempts to implant</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conceptual anchors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(usually through verbal means), and at all times makes decisions based on one’s own and empirically valid scientific thinking models.</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establishes the principle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decision-making based on thinking models,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with special emphasis 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anti-anchors</w:t>
            </w:r>
            <w:r>
              <w:rPr>
                <w:rFonts w:ascii="DejaVu Serif" w:hAnsi="DejaVu Serif" w:eastAsia="Noto Sans CJK SC"/>
                <w:color w:val="000000"/>
                <w:sz w:val="19"/>
              </w:rPr>
              <w:t xml:space="preserve">”</w:t>
            </w:r>
            <w:r>
              <w:rPr>
                <w:rFonts w:ascii="DejaVu Serif" w:hAnsi="DejaVu Serif" w:eastAsia="Noto Sans CJK SC"/>
                <w:color w:val="000000"/>
                <w:sz w:val="19"/>
              </w:rPr>
              <w:t xml:space="preserve">—guarding against others implanting concepts through words, and making decisions solely based on scientific models.</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is cross-referenced with Article 33 【Maximum Self-Determination, Anti-Preaching】, Article 46 【Credit and Anti-Credit】, and forms the decision-making guarantee for this person’s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autonomous rationality.</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33, Article 46, Article 76.</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28"/>
    <w:bookmarkStart w:id="129" w:name="article-76-data-oriented-thinking"/>
    <w:p>
      <w:pPr>
        <w:pStyle w:val="Heading3"/>
        <w:spacing w:after="120" w:line="312" w:lineRule="auto"/>
        <w:jc w:val="left"/>
      </w:pPr>
      <w:r>
        <w:rPr>
          <w:rFonts w:ascii="DejaVu Serif" w:hAnsi="DejaVu Serif" w:eastAsia="Noto Serif CJK SC"/>
          <w:color w:val="000000"/>
          <w:sz w:val="26"/>
        </w:rPr>
        <w:t xml:space="preserve">Article 76 【Data-Oriented Thinking】</w:t>
      </w:r>
    </w:p>
    <w:p>
      <w:pPr>
        <w:pStyle w:val="FirstParagraph"/>
        <w:spacing w:after="120" w:line="312" w:lineRule="auto"/>
      </w:pPr>
      <w:r>
        <w:rPr>
          <w:rFonts w:ascii="DejaVu Serif" w:hAnsi="DejaVu Serif" w:eastAsia="Noto Serif CJK SC"/>
          <w:color w:val="000000"/>
          <w:sz w:val="22"/>
        </w:rPr>
        <w:t xml:space="preserve">This person relies on scientific and valid data and information to make decisions, using data with caution.</w:t>
      </w:r>
    </w:p>
    <w:tbl>
      <w:tblPr>
        <w:tblStyle w:val="Table"/>
        <w:tblW w:type="pct" w:w="5019"/>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50"/>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This person relies on scientific and valid data and information to make decisions, using data with caution.</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establishes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data-oriented thinking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—decisions based on data, yet using data cautiously.</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Together with Article 75 and Article 77 【Information Thinking】, they form the three principles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rational decision-making.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Using data with caution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demonstrates this person’s clear-mindedness of not blindly trusting data.</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75, Article 77, Article 9.</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29"/>
    <w:bookmarkStart w:id="130" w:name="article-77-information-thinking"/>
    <w:p>
      <w:pPr>
        <w:pStyle w:val="Heading3"/>
        <w:spacing w:after="120" w:line="312" w:lineRule="auto"/>
        <w:jc w:val="left"/>
      </w:pPr>
      <w:r>
        <w:rPr>
          <w:rFonts w:ascii="DejaVu Serif" w:hAnsi="DejaVu Serif" w:eastAsia="Noto Serif CJK SC"/>
          <w:color w:val="000000"/>
          <w:sz w:val="26"/>
        </w:rPr>
        <w:t xml:space="preserve">Article 77 【Information Thinking】</w:t>
      </w:r>
    </w:p>
    <w:p>
      <w:pPr>
        <w:pStyle w:val="FirstParagraph"/>
        <w:spacing w:after="120" w:line="312" w:lineRule="auto"/>
      </w:pPr>
      <w:r>
        <w:rPr>
          <w:rFonts w:ascii="DejaVu Serif" w:hAnsi="DejaVu Serif" w:eastAsia="Noto Serif CJK SC"/>
          <w:color w:val="000000"/>
          <w:sz w:val="22"/>
        </w:rPr>
        <w:t xml:space="preserve">At all times, pay attention to searching for information, and carefully verify its sources and accuracy. On this basis, design business projects from the perspectives of human nature and supply-demand thinking, and launch ventures using the MVP approach.</w:t>
      </w:r>
    </w:p>
    <w:tbl>
      <w:tblPr>
        <w:tblStyle w:val="Table"/>
        <w:tblW w:type="pct" w:w="5018"/>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9"/>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At all times, pay attention to searching for information, and carefully verify its sources and accuracy. On this basis, design business projects from the perspectives of human nature and supply-demand thinking, and launch ventures using the MVP approach.</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establishes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information thinking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—emphasizing searching for information, verifying authenticity, basing decisions on supply and demand, and launching with MVP.</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Cross-referenced with Article 49 【MVP Principle】, Article 76, and Article 86, it demonstrates this person’s method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using information as the basis for decision-making.</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49, Article 76, Article 86.</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30"/>
    <w:bookmarkStart w:id="131" w:name="X0718849ea36e6381060868f8395dab3e29f87c3"/>
    <w:p>
      <w:pPr>
        <w:pStyle w:val="Heading3"/>
        <w:spacing w:after="120" w:line="312" w:lineRule="auto"/>
        <w:jc w:val="left"/>
      </w:pPr>
      <w:r>
        <w:rPr>
          <w:rFonts w:ascii="DejaVu Serif" w:hAnsi="DejaVu Serif" w:eastAsia="Noto Serif CJK SC"/>
          <w:color w:val="000000"/>
          <w:sz w:val="26"/>
        </w:rPr>
        <w:t xml:space="preserve">Article 78 【The Ideal Upper Limit of Life’s Striving】</w:t>
      </w:r>
    </w:p>
    <w:p>
      <w:pPr>
        <w:pStyle w:val="FirstParagraph"/>
        <w:spacing w:after="120" w:line="312" w:lineRule="auto"/>
      </w:pPr>
      <w:r>
        <w:rPr>
          <w:rFonts w:ascii="DejaVu Serif" w:hAnsi="DejaVu Serif" w:eastAsia="Noto Serif CJK SC"/>
          <w:color w:val="000000"/>
          <w:sz w:val="22"/>
        </w:rPr>
        <w:t xml:space="preserve">My personal life’s ultimate aspiration is to establish a globalized international private fund legal person or corporate entity (of a private placement nature) based on founding a company (entrepreneurship), operating it with a team, achieving personal freedom through global travel and remote work, all centered 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humanity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(human nature, human desires or needs, and their supply-demand relationships).</w:t>
      </w:r>
    </w:p>
    <w:tbl>
      <w:tblPr>
        <w:tblStyle w:val="Table"/>
        <w:tblW w:type="pct" w:w="5014"/>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2"/>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My personal life’s ultimate aspiration is to establish a company (an entrepreneurial venture), operate it with a team, and achieve personal freedom through global travel-based work, on the basis of which I will establish a globalized international private fund company legal person or enterprise entity (of a privately raised fund nature).</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【Discussion】It is stated herein: 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upper limit of the ideal of struggle</w:t>
            </w:r>
            <w:r>
              <w:rPr>
                <w:rFonts w:ascii="DejaVu Serif" w:hAnsi="DejaVu Serif" w:eastAsia="Noto Sans CJK SC"/>
                <w:color w:val="000000"/>
                <w:sz w:val="19"/>
              </w:rPr>
              <w:t xml:space="preserve">”</w:t>
            </w:r>
            <w:r>
              <w:rPr>
                <w:rFonts w:ascii="DejaVu Serif" w:hAnsi="DejaVu Serif" w:eastAsia="Noto Sans CJK SC"/>
                <w:color w:val="000000"/>
                <w:sz w:val="19"/>
              </w:rPr>
              <w:t xml:space="preserve">—from the formation of a startup team to the establishment of a globalized private equity fund institution.</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【Discussion】It is discussed in conjunction with Article 1-2, Article 8, and Article 79 【Principled Floor】, together constituting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Upper-Lower</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struggle zone.</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1-2, Article 8, Article 79.</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31"/>
    <w:bookmarkStart w:id="132" w:name="X699e9c90a443c37db985afa5d7b4f93f20db336"/>
    <w:p>
      <w:pPr>
        <w:pStyle w:val="Heading3"/>
        <w:spacing w:after="120" w:line="312" w:lineRule="auto"/>
        <w:jc w:val="left"/>
      </w:pPr>
      <w:r>
        <w:rPr>
          <w:rFonts w:ascii="DejaVu Serif" w:hAnsi="DejaVu Serif" w:eastAsia="Noto Serif CJK SC"/>
          <w:color w:val="000000"/>
          <w:sz w:val="26"/>
        </w:rPr>
        <w:t xml:space="preserve">Article 79 【The Principled Lower Limit of the Author’s Striving in Life Action】</w:t>
      </w:r>
    </w:p>
    <w:p>
      <w:pPr>
        <w:pStyle w:val="FirstParagraph"/>
        <w:spacing w:after="120" w:line="312" w:lineRule="auto"/>
      </w:pPr>
      <w:r>
        <w:rPr>
          <w:rFonts w:ascii="DejaVu Serif" w:hAnsi="DejaVu Serif" w:eastAsia="Noto Serif CJK SC"/>
          <w:color w:val="000000"/>
          <w:sz w:val="22"/>
        </w:rPr>
        <w:t xml:space="preserve">The principled bottom line of my life action is not to allow my own conduct to actually violate the degree stipulated by the Criminal Law and its judicial interpretations (to constitute a crime and/or deprivation of political rights), and to make decisions while taking into account the interests of team members.</w:t>
      </w:r>
    </w:p>
    <w:tbl>
      <w:tblPr>
        <w:tblStyle w:val="Table"/>
        <w:tblW w:type="pct" w:w="5015"/>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4"/>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My principled lower limit for life action is not to allow my own conduct to actually violate the degree stipulated by the Criminal Law and its judicial interpretations (to constitute a crime and/or deprivation of political rights), and to make decisions while taking into account the interests of team members.</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【Discussion】It is hereby stated: 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principled lower limit of struggle</w:t>
            </w:r>
            <w:r>
              <w:rPr>
                <w:rFonts w:ascii="DejaVu Serif" w:hAnsi="DejaVu Serif" w:eastAsia="Noto Sans CJK SC"/>
                <w:color w:val="000000"/>
                <w:sz w:val="19"/>
              </w:rPr>
              <w:t xml:space="preserve">”</w:t>
            </w:r>
            <w:r>
              <w:rPr>
                <w:rFonts w:ascii="DejaVu Serif" w:hAnsi="DejaVu Serif" w:eastAsia="Noto Sans CJK SC"/>
                <w:color w:val="000000"/>
                <w:sz w:val="19"/>
              </w:rPr>
              <w:t xml:space="preserve">—not violating criminal law, while also taking into account the interests of team members.</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Cross-referencing with Article 7, Article 12, and Article 78, the emphasis on the phrase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balancing the interests of team members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demonstrates that the Charter-Maker’s principle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altruistic win-win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not nullified by the minimum threshold.</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12, Article 78, Article 73.</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32"/>
    <w:bookmarkStart w:id="133" w:name="X2672b0fd6b6d8ecd4ae92400fe5f4c6e4c89fb5"/>
    <w:p>
      <w:pPr>
        <w:pStyle w:val="Heading3"/>
        <w:spacing w:after="120" w:line="312" w:lineRule="auto"/>
        <w:jc w:val="left"/>
      </w:pPr>
      <w:r>
        <w:rPr>
          <w:rFonts w:ascii="DejaVu Serif" w:hAnsi="DejaVu Serif" w:eastAsia="Noto Serif CJK SC"/>
          <w:color w:val="000000"/>
          <w:sz w:val="26"/>
        </w:rPr>
        <w:t xml:space="preserve">Article 80 【Cognition of the Essence of the Game of Life from Economic and Political Perspectives】</w:t>
      </w:r>
    </w:p>
    <w:p>
      <w:pPr>
        <w:pStyle w:val="FirstParagraph"/>
        <w:spacing w:after="120" w:line="312" w:lineRule="auto"/>
      </w:pPr>
      <w:r>
        <w:rPr>
          <w:rFonts w:ascii="DejaVu Serif" w:hAnsi="DejaVu Serif" w:eastAsia="Noto Serif CJK SC"/>
          <w:color w:val="000000"/>
          <w:sz w:val="22"/>
        </w:rPr>
        <w:t xml:space="preserve">From a political and economic perspective, life is a game of resource possession and distribution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cake-cutting game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By occupying a certain amount of existing resources, one can then allocate these resources to one’s followers through team-based and rational distribution, thereby achieving</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success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through</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altruism.</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However, the entire process requires rational and agile action over a period of approximately five years, while continuously maintaining one’s own position.</w:t>
      </w:r>
    </w:p>
    <w:tbl>
      <w:tblPr>
        <w:tblStyle w:val="Table"/>
        <w:tblW w:type="pct" w:w="5010"/>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5"/>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From a political and economic perspective, life is a game of resource possession and distribution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cake-cutting game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By taking a dominant position to secure a certain amount of existing resources, and then through team-based and rational distribution of these resources to one’s followers,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altruism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can lead to</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success.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However, the entire process requires rational and agile action for approximately five years, along with the continuous maintenance of one’s own position.</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【Discussion】It is discussed that this Article reveals, from a political and economic perspective, that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Game of Life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one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resource possession and distribution,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 that the path to success lies in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being the house, forming teams, and altruistic distribution.</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It is discussed: Referencing Article 71 [Layout and Market Control] and Article 120 [Currency Earning Model], this is yet another example of the Charter-Maker’s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viewing life through essentialism.</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71, Article 120.</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33"/>
    <w:bookmarkStart w:id="134" w:name="Xc5180dbc09ed3bf7d06d50e610ad086ee565c44"/>
    <w:p>
      <w:pPr>
        <w:pStyle w:val="Heading3"/>
        <w:spacing w:after="120" w:line="312" w:lineRule="auto"/>
        <w:jc w:val="left"/>
      </w:pPr>
      <w:r>
        <w:rPr>
          <w:rFonts w:ascii="DejaVu Serif" w:hAnsi="DejaVu Serif" w:eastAsia="Noto Serif CJK SC"/>
          <w:color w:val="000000"/>
          <w:sz w:val="26"/>
        </w:rPr>
        <w:t xml:space="preserve">Article 81 【The Principle of an Action Model of Self-Formulated Standards】</w:t>
      </w:r>
    </w:p>
    <w:p>
      <w:pPr>
        <w:pStyle w:val="FirstParagraph"/>
        <w:spacing w:after="120" w:line="312" w:lineRule="auto"/>
      </w:pPr>
      <w:r>
        <w:rPr>
          <w:rFonts w:ascii="DejaVu Serif" w:hAnsi="DejaVu Serif" w:eastAsia="Noto Serif CJK SC"/>
          <w:color w:val="000000"/>
          <w:sz w:val="22"/>
        </w:rPr>
        <w:t xml:space="preserve">Any action taken by myself shall, starting from its essence, first be planned in accordance with my most authentic needs, and from a completely scientific perspective, shielded from the speech (evaluations, public opinion, etc.) of people whose life goal circles and interests are not aligned with my own, independently establish standards for action (for example: shopping lists, structural lists for the procurement and configuration of specific targets), and thereafter conduct shopping in accordance with this text. The list shall specify the following matters: (1) Enumeration of the names of the targets to be purchased; (2) The current respective usage amounts of the targets to be purchased; (3) Argumentative explanations of the respective utility and minimally feasible necessity of the targets to be purchased; (4) Explanations and arguments regarding the respective subsequent transitive effects of the targets to be purchased.</w:t>
      </w:r>
    </w:p>
    <w:tbl>
      <w:tblPr>
        <w:tblStyle w:val="Table"/>
        <w:tblW w:type="pct" w:w="5005"/>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8"/>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Any action undertaken by myself shall, proceeding from its essence, first be planned in accordance with my most authentic needs, and from a completely scientific perspective, shielded from the speech (evaluations, public opinion, etc.) of individuals whose life goal circles and interest orientations diverge from my own. I shall independently and autonomously establish standards for action (such as shopping lists, structural lists for the procurement of specific targets, etc.), and thereafter conduct shopping in accordance with this text. The list shall specify the following matters: (1) an enumeration of the names of the targets to be purchased; (2) the current respective quantities for each target to be purchased; (3) an argumentative explanation of the respective utility and minimal feasible necessity for each target to be purchased; (4) an argumentative explanation of the subsequent transmissive effects for each target to be purchased; …</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【Discussion】It is hereby stated that this Article establishes the action model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independent standard-setting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—that is, to first plan, establish standards, and act in accordance with them, without being swayed by the words of others.</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It is discussed: This Article is a refinement of Article 49 【Purchase of MVP】, with particular detail 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matters to be listed in the inventory.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It should be cross-referenced with Article 33 【Anti-Didacticism】 and Article 75 【Anti-Anchoring】.</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49, Article 33, Article 75.</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34"/>
    <w:bookmarkStart w:id="135" w:name="X419389548ad283d1dde0c1262a5ec0472a2ccbd"/>
    <w:p>
      <w:pPr>
        <w:pStyle w:val="Heading3"/>
        <w:spacing w:after="120" w:line="312" w:lineRule="auto"/>
        <w:jc w:val="left"/>
      </w:pPr>
      <w:r>
        <w:rPr>
          <w:rFonts w:ascii="DejaVu Serif" w:hAnsi="DejaVu Serif" w:eastAsia="Noto Serif CJK SC"/>
          <w:color w:val="000000"/>
          <w:sz w:val="26"/>
        </w:rPr>
        <w:t xml:space="preserve">Article 82 【Exemption from the Shopping-List Procedure of the Preceding Article When the Author’s Life Is Genuinely Under Substantial Threat】</w:t>
      </w:r>
    </w:p>
    <w:p>
      <w:pPr>
        <w:pStyle w:val="FirstParagraph"/>
        <w:spacing w:after="120" w:line="312" w:lineRule="auto"/>
      </w:pPr>
      <w:r>
        <w:rPr>
          <w:rFonts w:ascii="DejaVu Serif" w:hAnsi="DejaVu Serif" w:eastAsia="Noto Serif CJK SC"/>
          <w:color w:val="000000"/>
          <w:sz w:val="22"/>
        </w:rPr>
        <w:t xml:space="preserve">Specific exempting circumstances include: (1) Those who have been sentenced and executed for violating the criminal law provisions on capital punishment; (2) Those who may be killed on the spot for the act in question; (3) Those who may die due to meteorological reasons as a result;</w:t>
      </w:r>
    </w:p>
    <w:p>
      <w:pPr>
        <w:pStyle w:val="Compact"/>
        <w:numPr>
          <w:ilvl w:val="0"/>
          <w:numId w:val="1019"/>
        </w:numPr>
        <w:spacing w:after="120" w:line="312" w:lineRule="auto"/>
      </w:pPr>
      <w:r>
        <w:rPr>
          <w:rFonts w:ascii="DejaVu Serif" w:hAnsi="DejaVu Serif" w:eastAsia="Noto Serif CJK SC"/>
          <w:color w:val="000000"/>
          <w:sz w:val="22"/>
        </w:rPr>
        <w:t xml:space="preserve">Those who may die due to geographical or geological disaster reasons as a result; (5) Those who may die due to traffic accidents or destruction of tools as a result (vehicle malfunctions, human-caused traffic accidents, whether benevolent or malicious); (6) Those who may die from sudden or non-sudden diseases (such as organ failure) without timely and/or effective medical treatment; (7) Those who may experience abnormal signals from physical organs, signs, etc., and may suffer irreversible major harm to their person; (8) Those who may be assassinated or killed as a result of retaliation by specific groups (such as criminal organizations); (9) Those who may die due to gas leaks, water damage, or fires as a result; (10) Those who may die due to excessive fatigue without effective relief and recovery as a result; (11) Those who may die due to external and internal psychological pressures that they cannot bear (which can be resolved through cognitive regulation and mood management) without effective relief and recovery as a result; (12) Other situations not listed above that may lead to death.</w:t>
      </w:r>
    </w:p>
    <w:tbl>
      <w:tblPr>
        <w:tblStyle w:val="Table"/>
        <w:tblW w:type="pct" w:w="5022"/>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55"/>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When a situation where one’s life faces a substantial threat does indeed arise, the procedures listed in the shopping list in the preceding Article may be exempted from implementation.</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establishes an emergency exemption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life-threatening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circumstances for the preceding Article—when life is in imminent danger, exemption from performing the list procedures.</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Same principle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emergency discretion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Article 40 【Principle of Exemption for Alcoholic Beverages】 and Article 29 【Exceptional Circumstances】.</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81, Article 40, Article 29.</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35"/>
    <w:bookmarkStart w:id="136" w:name="Xe500dfb8982e097ebf6daa2a48a60b739376815"/>
    <w:p>
      <w:pPr>
        <w:pStyle w:val="Heading3"/>
        <w:spacing w:after="120" w:line="312" w:lineRule="auto"/>
        <w:jc w:val="left"/>
      </w:pPr>
      <w:r>
        <w:rPr>
          <w:rFonts w:ascii="DejaVu Serif" w:hAnsi="DejaVu Serif" w:eastAsia="Noto Serif CJK SC"/>
          <w:color w:val="000000"/>
          <w:sz w:val="26"/>
        </w:rPr>
        <w:t xml:space="preserve">Article 83 【Systematic Compilation of All Primary, Essential, Tangible and Intangible Subject Matters Pursued by the Individual or Humanity】</w:t>
      </w:r>
    </w:p>
    <w:p>
      <w:pPr>
        <w:pStyle w:val="FirstParagraph"/>
        <w:spacing w:after="120" w:line="312" w:lineRule="auto"/>
      </w:pPr>
      <w:r>
        <w:rPr>
          <w:rFonts w:ascii="DejaVu Serif" w:hAnsi="DejaVu Serif" w:eastAsia="Noto Serif CJK SC"/>
          <w:color w:val="000000"/>
          <w:sz w:val="22"/>
        </w:rPr>
        <w:t xml:space="preserve">Unless the law imposes punitive measures for specific prohibitive matters (mandatory requirements) and infringes upon freedom and the right to life, any individual (with the right to choose) may choose not to comply. (The mechanism of effect for all punishments is based on the human psychological fear of possibly losing one’s existing objects—the mentality of gain and loss.) The existing corresponding objects for the mentality of gain and loss are now summarized and listed as follows: (1) Acting in accordance with an agreement based on punitive measures that infringe upon the right to life; (2) Acting in accordance with an agreement based on punitive measures that infringe upon the right to bodily integrity; (3) Acting in accordance with an agreement based on punitive measures that infringe upon the right to freedom; (4) Acting in accordance with an agreement based on punitive measures that infringe upon one’s right to strategic self-determination; (5) Acting in accordance with an agreement based on punitive measures that infringe upon existing property (currency or assets) or property rights (ownership; usufructuary rights: e.g., right of habitation; intellectual property rights: trademark rights, copyright, patent rights); acting in accordance with an agreement based on punitive measures that infringe upon existing non-property social rights (e.g., political rights: freedom of speech, publication, assembly, association, etc.); (6) Acting in accordance with an agreement based on punitive measures that infringe upon existing rights to credit, reputation, and honor; (7) Acting in accordance with an agreement based on punitive measures that infringe upon existing personal accessory rights such as portrait rights, privacy rights, and similar rights; (8) Acting in accordance with an agreement based on punitive measures that infringe upon future possible choices in life; (9) Acting in accordance with an agreement based on punitive measures that cause negative emotions and subjective feelings arising from the stimulation of one’s own internal feelings: Paragraph 1. Sense of shame; Paragraph 2. Sense of regret (subjective feeling of remorse); Paragraph 3. Sense of annoyance; Paragraph 4. Sense of self-blame; Paragraph 5. Sense of anxiety; Paragraph 6. Sense of tension; Paragraph 7. Sense of anger; Paragraph 8. Sense of frustration; Paragraph 9. Sense of sadness; Paragraph 10. Sense of suffering; (10) Acting in accordance with an agreement based on punitive measures that infringe upon the objects in items 1-9 of persons⁶ with extremely close relationships to oneself; (Note: ⁶The scope shall be determined by the parties themselves (i.e., the people the individual truly cares about)).</w:t>
      </w:r>
    </w:p>
    <w:p>
      <w:pPr>
        <w:pStyle w:val="BodyText"/>
        <w:spacing w:after="120" w:line="312" w:lineRule="auto"/>
      </w:pPr>
      <w:r>
        <w:rPr>
          <w:rFonts w:ascii="DejaVu Serif" w:hAnsi="DejaVu Serif" w:eastAsia="Noto Serif CJK SC"/>
          <w:color w:val="000000"/>
          <w:sz w:val="22"/>
        </w:rPr>
        <w:t xml:space="preserve">Acting in accordance with a certain agreement to maintain the honor one has acquired and possesses; acting in accordance with a certain agreement to maintain an existing consensual spirit (e.g., the spirit of contract); acting in accordance with a certain agreement based on the following internal driving forces (internal motivation): Paragraph 1. The joy of self-reward – altruism; Paragraph 2. A sense of inner mission; Paragraph 3. A sense of inner love; Paragraph 4. A sense of inner accomplishment; Paragraph 5. A sense of inner responsibility; Paragraph 6. A sense of inner pride; Paragraph 7. A sense of inner pride; Paragraph 8. A sense of inner participation; Paragraph 9. A sense of inner gain; Paragraph 10. The desire and curiosity to restore the complete original picture of events; Paragraph 11. A sense of moral superiority (sense of righteousness); Paragraph 12. A sense of inner honor; Paragraph 13. A sense of inner loss (neutral feedback); Paragraph 14. A sense of inner guilt (negative feedback); Paragraph 15. A sense of inner crisis (negative feedback);</w:t>
      </w:r>
    </w:p>
    <w:p>
      <w:pPr>
        <w:pStyle w:val="Compact"/>
        <w:numPr>
          <w:ilvl w:val="0"/>
          <w:numId w:val="1020"/>
        </w:numPr>
        <w:spacing w:after="120" w:line="312" w:lineRule="auto"/>
      </w:pPr>
      <w:r>
        <w:rPr>
          <w:rFonts w:ascii="DejaVu Serif" w:hAnsi="DejaVu Serif" w:eastAsia="Noto Serif CJK SC"/>
          <w:color w:val="000000"/>
          <w:sz w:val="22"/>
        </w:rPr>
        <w:t xml:space="preserve">Acting in accordance with a certain agreement based on the following external driving forces (external motivation): Paragraph 1. The need for social acclaim (natural persons, legal entities); Paragraph 2. The need for social honor certificates, medals, titles, and recognitions; Paragraph 3. The need for positive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labels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from other parties (e.g., generosity); Paragraph 4. The need for the sense of power, leadership, and pride from holding an official position; Paragraph 5. The need for the sense of presence, ritual, grandeur, and excitement from participating in ceremonies; Paragraph 6. The sense of game, participation, and interaction from progressively enhanced mutual feedback: Item 1. The novelty and curiosity from engaging in an external event for the first time or obtaining certain new experiences; Item 2. The sense of gain from obtaining something that has never been obtained before; Item 3. The need for encouragement from other subjects (natural persons, legal entities); Item 4. The sense of uniqueness and honor from membership-like status; Paragraph 7. The need for monetary rewards (RMB ¥ / time): Item 1. Needing less than 100; Item 2. Needing 100-500; Item 3. Needing 500-1000; Item 4. Needing 1000-5000; Item 5. Needing 5000-10000; Item 6. Needing 10000-20000; Item 7. Needing 20000-50000; Item 8. Needing 50000-100000; Item 9. Needing 100000-150000; Item 10. Needing 150000-300000; Item 11. Needing 300000-500000; Item 12. Needing 500000-1000000; Item 13. Needing 1000000-3000000;</w:t>
      </w:r>
    </w:p>
    <w:p>
      <w:pPr>
        <w:pStyle w:val="FirstParagraph"/>
        <w:spacing w:after="120" w:line="312" w:lineRule="auto"/>
      </w:pPr>
      <w:r>
        <w:rPr>
          <w:rFonts w:ascii="DejaVu Serif" w:hAnsi="DejaVu Serif" w:eastAsia="Noto Serif CJK SC"/>
          <w:color w:val="000000"/>
          <w:sz w:val="22"/>
        </w:rPr>
        <w:t xml:space="preserve">Item 14. Needing 3000000-5000000; Item 15. Needing 5000000-10000000; Item 16. Needing 10000000-50000000; Item 17. Needing 50000000-100000000; Item 18. Needing 100000000-500000000; Item 19. Needing 500000000-1000000000; Item 20. Needing 1000000000+; Paragraph 8. Ethics (the punishment for conflicts of inner beliefs); Paragraph 9. Threats from others (negative returns); Paragraph 10. Pressure from public opinion (negative returns); Paragraph 11. The need for other negative feedback stimuli not listed above, which are non-monetary.</w:t>
      </w:r>
    </w:p>
    <w:tbl>
      <w:tblPr>
        <w:tblStyle w:val="Table"/>
        <w:tblW w:type="pct" w:w="5004"/>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6"/>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Unless the law imposes punitive measures for specific prohibitions (mandatory requirements) and infringes upon freedom and the right to life, any individual (with the right to choose) may choose not to comply. (The mechanism of effect for all punishments is based on the human fear of possibly losing what one already possesses – the mind of gain and loss). The corresponding objects of the mind of gain and loss are now summarized and listed as follows: (1) Acting in accordance with a certain agreement based on punitive measures that infringe upon the right to life; (2) Acting in accordance with a certain agreement based on punitive measures that infringe upon the right to the body… (3) Acting in accordance with a certain agreement based on punitive measures that infringe upon freedom… (4) Acting in accordance with a certain agreement based on punitive measures that infringe upon one’s strategic right of self-determination… (5) Acting in accordance with a certain agreement based on punitive measures that infringe upon existing property (currency or assets) or property rights (ownership, usufruct, intellectual property)… (The full text shall be governed by the authentic text).</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It is discussed: This Article, with</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mind of gain and loss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its pivot, systematically summarizes the corresponding relationship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punishment—fear—object of desire,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constituting the master table of the Charter-Maker’s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risk—motivation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analysis.</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It is discussed: This Article and Article 5,</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Sources of Fear,</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are mutually complementary (one being</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that which is feared,</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other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that which is punished</w:t>
            </w:r>
            <w:r>
              <w:rPr>
                <w:rFonts w:ascii="DejaVu Serif" w:hAnsi="DejaVu Serif" w:eastAsia="Noto Sans CJK SC"/>
                <w:color w:val="000000"/>
                <w:sz w:val="19"/>
              </w:rPr>
              <w:t xml:space="preserve">”</w:t>
            </w:r>
            <w:r>
              <w:rPr>
                <w:rFonts w:ascii="DejaVu Serif" w:hAnsi="DejaVu Serif" w:eastAsia="Noto Sans CJK SC"/>
                <w:color w:val="000000"/>
                <w:sz w:val="19"/>
              </w:rPr>
              <w:t xml:space="preserve">); it is to be cross-referenced with Articles 12 and 49, serving as a cognitive tool for the Charter-Maker to understand the driving forces of human nature.</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5, Article 12, Article 49.</w:t>
            </w:r>
          </w:p>
        </w:tc>
      </w:tr>
      <w:tr>
        <w:tc>
          <w:tcPr/>
          <w:p>
            <w:pPr>
              <w:pStyle w:val="Compact"/>
              <w:spacing w:after="40" w:line="288" w:lineRule="auto"/>
              <w:jc w:val="left"/>
            </w:pPr>
            <w:r>
              <w:rPr>
                <w:rFonts w:ascii="DejaVu Serif" w:hAnsi="DejaVu Serif" w:eastAsia="Noto Sans CJK SC"/>
                <w:color w:val="000000"/>
                <w:sz w:val="19"/>
              </w:rPr>
              <w:t xml:space="preserve">(Continued from Article 84 and subsequent Articles)</w:t>
            </w:r>
          </w:p>
        </w:tc>
      </w:tr>
    </w:tbl>
    <w:bookmarkEnd w:id="136"/>
    <w:bookmarkEnd w:id="137"/>
    <w:bookmarkStart w:id="156" w:name="X7bf35f451d215a94392bb9032fd4a10b3f2ca55"/>
    <w:p>
      <w:pPr>
        <w:pStyle w:val="Heading2"/>
        <w:spacing w:after="160" w:line="312" w:lineRule="auto"/>
        <w:jc w:val="left"/>
      </w:pPr>
      <w:r>
        <w:rPr>
          <w:rFonts w:ascii="DejaVu Serif" w:hAnsi="DejaVu Serif" w:eastAsia="Noto Serif CJK SC"/>
          <w:color w:val="000000"/>
          <w:sz w:val="30"/>
        </w:rPr>
        <w:t xml:space="preserve">Volume Nine Chapter on Civil Activities and Political Neutrality</w:t>
      </w:r>
    </w:p>
    <w:p>
      <w:pPr>
        <w:spacing w:after="120" w:line="312" w:lineRule="auto"/>
      </w:pPr>
      <w:r>
        <w:rPr>
          <w:rFonts w:ascii="DejaVu Serif" w:hAnsi="DejaVu Serif" w:eastAsia="Noto Serif CJK SC"/>
          <w:color w:val="000000"/>
          <w:sz w:val="22"/>
        </w:rPr>
        <w:pict>
          <v:rect style="width:0;height:1.5pt" o:hralign="center" o:hrstd="t" o:hr="t"/>
        </w:pict>
      </w:r>
    </w:p>
    <w:bookmarkStart w:id="138" w:name="X8345f36b20718a6ce4ae8838238169bddc7727f"/>
    <w:p>
      <w:pPr>
        <w:pStyle w:val="Heading3"/>
        <w:spacing w:after="120" w:line="312" w:lineRule="auto"/>
        <w:jc w:val="left"/>
      </w:pPr>
      <w:r>
        <w:rPr>
          <w:rFonts w:ascii="DejaVu Serif" w:hAnsi="DejaVu Serif" w:eastAsia="Noto Serif CJK SC"/>
          <w:color w:val="000000"/>
          <w:sz w:val="26"/>
        </w:rPr>
        <w:t xml:space="preserve">Article 84 【The Principle of Providing Services upon Invitation】</w:t>
      </w:r>
    </w:p>
    <w:p>
      <w:pPr>
        <w:pStyle w:val="FirstParagraph"/>
        <w:spacing w:after="120" w:line="312" w:lineRule="auto"/>
      </w:pPr>
      <w:r>
        <w:rPr>
          <w:rFonts w:ascii="DejaVu Serif" w:hAnsi="DejaVu Serif" w:eastAsia="Noto Serif CJK SC"/>
          <w:color w:val="000000"/>
          <w:sz w:val="22"/>
        </w:rPr>
        <w:t xml:space="preserve">Any activity undertaken by myself (including but not limited to consulting, planning, agency, leasing, translation, design, negotiation, etc.) shall have the need of the external counterpart as its primary and original starting point and as the first principle of service provision. When the service recipient does not possess an active and strong motivation, assistance shall (in principle) not be provided.</w:t>
      </w:r>
    </w:p>
    <w:tbl>
      <w:tblPr>
        <w:tblStyle w:val="Table"/>
        <w:tblW w:type="pct" w:w="5013"/>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9"/>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any activity undertaken (including but not limited to consulting, planning, agency, leasing, translation, design, negotiation, etc.), the primary and original starting point and the first principle for providing service shall be the need of the external counterpart. Assistance shall not be rendered (in principle) when the service recipient lacks active and strong motivation.</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【Discussion】It is stated herein: This Article establishes the principle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Invited Service</w:t>
            </w:r>
            <w:r>
              <w:rPr>
                <w:rFonts w:ascii="DejaVu Serif" w:hAnsi="DejaVu Serif" w:eastAsia="Noto Sans CJK SC"/>
                <w:color w:val="000000"/>
                <w:sz w:val="19"/>
              </w:rPr>
              <w:t xml:space="preserve">”</w:t>
            </w:r>
            <w:r>
              <w:rPr>
                <w:rFonts w:ascii="DejaVu Serif" w:hAnsi="DejaVu Serif" w:eastAsia="Noto Sans CJK SC"/>
                <w:color w:val="000000"/>
                <w:sz w:val="19"/>
              </w:rPr>
              <w:t xml:space="preserve">—service is predicated upon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active and strong demand of the counterparty,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 in its absence, assistance is generally not to be rendered. This is consistent with Article 114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Paid Screening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and Article 34 [</w:t>
            </w:r>
            <w:r>
              <w:rPr>
                <w:rFonts w:ascii="DejaVu Serif" w:hAnsi="DejaVu Serif" w:eastAsia="Noto Sans CJK SC"/>
                <w:color w:val="000000"/>
                <w:sz w:val="19"/>
              </w:rPr>
              <w:t xml:space="preserve">“</w:t>
            </w:r>
            <w:r>
              <w:rPr>
                <w:rFonts w:ascii="DejaVu Serif" w:hAnsi="DejaVu Serif" w:eastAsia="Noto Sans CJK SC"/>
                <w:color w:val="000000"/>
                <w:sz w:val="19"/>
              </w:rPr>
              <w:t xml:space="preserve">Voluntary Responsibility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【Discussion】It is stated: This Article shares the same origin as Article 1,</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Minimum Necessary Intervention,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 Annex A.02.001,</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Principle of Non-Necessary Assistance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not to proactively give aid, not to intervene beyond boundaries, is an embodiment of respecting the autonomy of others.</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34, Article 85, Article 114, and Annex A.02.001 【List of Exemptions from the Principle of Non-Necessary Assistance】.</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38"/>
    <w:bookmarkStart w:id="139" w:name="X5cf38d889324ddf0700bc85a93df958f6ad46d8"/>
    <w:p>
      <w:pPr>
        <w:pStyle w:val="Heading3"/>
        <w:spacing w:after="120" w:line="312" w:lineRule="auto"/>
        <w:jc w:val="left"/>
      </w:pPr>
      <w:r>
        <w:rPr>
          <w:rFonts w:ascii="DejaVu Serif" w:hAnsi="DejaVu Serif" w:eastAsia="Noto Serif CJK SC"/>
          <w:color w:val="000000"/>
          <w:sz w:val="26"/>
        </w:rPr>
        <w:t xml:space="preserve">Article 85 【Client Seeking and Positioning】</w:t>
      </w:r>
    </w:p>
    <w:p>
      <w:pPr>
        <w:pStyle w:val="FirstParagraph"/>
        <w:spacing w:after="120" w:line="312" w:lineRule="auto"/>
      </w:pPr>
      <w:r>
        <w:rPr>
          <w:rFonts w:ascii="DejaVu Serif" w:hAnsi="DejaVu Serif" w:eastAsia="Noto Serif CJK SC"/>
          <w:color w:val="000000"/>
          <w:sz w:val="22"/>
        </w:rPr>
        <w:t xml:space="preserve">When seeking clients, one must target individuals who possess an active and strong motivation to proactively seek assistance and who genuinely possess the intention, willingness, and capacity to pay.</w:t>
      </w:r>
    </w:p>
    <w:tbl>
      <w:tblPr>
        <w:tblStyle w:val="Table"/>
        <w:tblW w:type="pct" w:w="5019"/>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50"/>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When seeking clients, one must target individuals who possess an active and strong motivation to proactively seek assistance and who genuinely possess the intention, willingness, and capacity to pay.</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【Discussion】It is stated herein: This Article establishes the principle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Client Positioning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—targeting only those who are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proactive, intense, possess the intention and ability to pay.</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It is discussed: Referencing Article 114 【Paid Screening】, Article 116 【Customer Screening Dimensions】, and Article 55 【Entrepreneurial Selection of People】, this is the method of the Charter-Maker for commercial customer acquisition.</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55, Article 114, Article 116.</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39"/>
    <w:bookmarkStart w:id="140" w:name="X2796f64e4210de6a94e6bd2fc5d6d7b46bd3696"/>
    <w:p>
      <w:pPr>
        <w:pStyle w:val="Heading3"/>
        <w:spacing w:after="120" w:line="312" w:lineRule="auto"/>
        <w:jc w:val="left"/>
      </w:pPr>
      <w:r>
        <w:rPr>
          <w:rFonts w:ascii="DejaVu Serif" w:hAnsi="DejaVu Serif" w:eastAsia="Noto Serif CJK SC"/>
          <w:color w:val="000000"/>
          <w:sz w:val="26"/>
        </w:rPr>
        <w:t xml:space="preserve">Article 86 【The Intensity of One’s Own Motivation】</w:t>
      </w:r>
    </w:p>
    <w:p>
      <w:pPr>
        <w:pStyle w:val="FirstParagraph"/>
        <w:spacing w:after="120" w:line="312" w:lineRule="auto"/>
      </w:pPr>
      <w:r>
        <w:rPr>
          <w:rFonts w:ascii="DejaVu Serif" w:hAnsi="DejaVu Serif" w:eastAsia="Noto Serif CJK SC"/>
          <w:color w:val="000000"/>
          <w:sz w:val="22"/>
        </w:rPr>
        <w:t xml:space="preserve">Oneself must also clarify one’s objectives, proactively identify one’s own true and intense desires, and act upon them.</w:t>
      </w:r>
    </w:p>
    <w:tbl>
      <w:tblPr>
        <w:tblStyle w:val="Table"/>
        <w:tblW w:type="pct" w:w="5021"/>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53"/>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One must also clarify one’s own objectives, proactively identify one’s own true and intense desires, and act upon them.</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【Discussion】It is stated herein that this Article establishes the requirement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self-motivation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individual must also understand the objective, perceive the strong desire, and immediately put it into practice.</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To be read in conjunction with Article 28 [Decision-Making Fortitude] and Article 77 [Informational Thinking], it is shown that in treating both others and oneself, the standard is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strong motivation.</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28, Article 77, Article 113.</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40"/>
    <w:bookmarkStart w:id="141" w:name="X0060844991312b7aac979f847367fc6e7cc85ca"/>
    <w:p>
      <w:pPr>
        <w:pStyle w:val="Heading3"/>
        <w:spacing w:after="120" w:line="312" w:lineRule="auto"/>
        <w:jc w:val="left"/>
      </w:pPr>
      <w:r>
        <w:rPr>
          <w:rFonts w:ascii="DejaVu Serif" w:hAnsi="DejaVu Serif" w:eastAsia="Noto Serif CJK SC"/>
          <w:color w:val="000000"/>
          <w:sz w:val="26"/>
        </w:rPr>
        <w:t xml:space="preserve">Article 87 【General Principle One of Civil Activities】</w:t>
      </w:r>
    </w:p>
    <w:p>
      <w:pPr>
        <w:pStyle w:val="FirstParagraph"/>
        <w:spacing w:after="120" w:line="312" w:lineRule="auto"/>
      </w:pPr>
      <w:r>
        <w:rPr>
          <w:rFonts w:ascii="DejaVu Serif" w:hAnsi="DejaVu Serif" w:eastAsia="Noto Serif CJK SC"/>
          <w:color w:val="000000"/>
          <w:sz w:val="22"/>
        </w:rPr>
        <w:t xml:space="preserve">Principle of Equality – It has two main meanings: one is the embodiment in civil law of the constitutional principle that all are equal before the law, and the other is the equal protection of the lawful civil rights and interests of all civil subjects.</w:t>
      </w:r>
    </w:p>
    <w:tbl>
      <w:tblPr>
        <w:tblStyle w:val="Table"/>
        <w:tblW w:type="pct" w:w="5017"/>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7"/>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Principle of Equality—It has two main meanings: one is the embodiment in civil law of the constitutional principle that all are equal before the law, and the other is the equal protection of the legitimate civil rights and interests of all civil subjects.</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【Discussion】It is stated: Articles 1 and 88 through 92 collectively constitute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Five Principles of Civil Activities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(Equality, Voluntariness, Fairness, Good Faith, and Green), which are the fundamental principles governing the Charter-Maker’s civil activities.</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【Discussion】It is discussed: The principle of equality is the foremost of the five principles and is connected with Article 35 【All things are exchanged equally】 and Article 99 【Treat others with an attitude of equality】.</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Articles 88 to 92, Article 35, and Article 99.</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41"/>
    <w:bookmarkStart w:id="142" w:name="Xcbed1125af2e5f90589f49c9c3f2f7a086da6d2"/>
    <w:p>
      <w:pPr>
        <w:pStyle w:val="Heading3"/>
        <w:spacing w:after="120" w:line="312" w:lineRule="auto"/>
        <w:jc w:val="left"/>
      </w:pPr>
      <w:r>
        <w:rPr>
          <w:rFonts w:ascii="DejaVu Serif" w:hAnsi="DejaVu Serif" w:eastAsia="Noto Serif CJK SC"/>
          <w:color w:val="000000"/>
          <w:sz w:val="26"/>
        </w:rPr>
        <w:t xml:space="preserve">Article 88 【General Principle Two of Civil Activities】</w:t>
      </w:r>
    </w:p>
    <w:p>
      <w:pPr>
        <w:pStyle w:val="FirstParagraph"/>
        <w:spacing w:after="120" w:line="312" w:lineRule="auto"/>
      </w:pPr>
      <w:r>
        <w:rPr>
          <w:rFonts w:ascii="DejaVu Serif" w:hAnsi="DejaVu Serif" w:eastAsia="Noto Serif CJK SC"/>
          <w:color w:val="000000"/>
          <w:sz w:val="22"/>
        </w:rPr>
        <w:t xml:space="preserve">Principle of Voluntariness – Civil subjects shall follow the principle of voluntariness in engaging in civil activities, establishing, modifying, or terminating civil legal relationships according to their own will. The autonomy of will is one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three cornerstones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of modern civil law.</w:t>
      </w:r>
    </w:p>
    <w:tbl>
      <w:tblPr>
        <w:tblStyle w:val="Table"/>
        <w:tblW w:type="pct" w:w="5016"/>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5"/>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Principle of Voluntariness—Civil subjects shall follow the principle of voluntariness in engaging in civil activities, establishing, modifying, or terminating civil legal relationships according to their own will. The autonomy of will is one of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three cornerstones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modern civil law.</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【Discussion】It is stated herein: 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Principle of Voluntariness</w:t>
            </w:r>
            <w:r>
              <w:rPr>
                <w:rFonts w:ascii="DejaVu Serif" w:hAnsi="DejaVu Serif" w:eastAsia="Noto Sans CJK SC"/>
                <w:color w:val="000000"/>
                <w:sz w:val="19"/>
              </w:rPr>
              <w:t xml:space="preserve">”</w:t>
            </w:r>
            <w:r>
              <w:rPr>
                <w:rFonts w:ascii="DejaVu Serif" w:hAnsi="DejaVu Serif" w:eastAsia="Noto Sans CJK SC"/>
                <w:color w:val="000000"/>
                <w:sz w:val="19"/>
              </w:rPr>
              <w:t xml:space="preserve">—autonomy of will—as the civil law foundation for the individual’s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Right of Self-Determination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33).</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【Discussion】It is discussed that the principle of voluntariness is congruent with Articles 33 and 34 (no liability for non-voluntary acts), demonstrating the alignment between the spirit of the Charter and civil law.</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33, Article 34, Article 90.</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42"/>
    <w:bookmarkStart w:id="143" w:name="X7feca0fd1adb594962c949d8fc1ce787b0fa9f1"/>
    <w:p>
      <w:pPr>
        <w:pStyle w:val="Heading3"/>
        <w:spacing w:after="120" w:line="312" w:lineRule="auto"/>
        <w:jc w:val="left"/>
      </w:pPr>
      <w:r>
        <w:rPr>
          <w:rFonts w:ascii="DejaVu Serif" w:hAnsi="DejaVu Serif" w:eastAsia="Noto Serif CJK SC"/>
          <w:color w:val="000000"/>
          <w:sz w:val="26"/>
        </w:rPr>
        <w:t xml:space="preserve">Article 89 【General Principle Three of Civil Activities】</w:t>
      </w:r>
    </w:p>
    <w:p>
      <w:pPr>
        <w:pStyle w:val="FirstParagraph"/>
        <w:spacing w:after="120" w:line="312" w:lineRule="auto"/>
      </w:pPr>
      <w:r>
        <w:rPr>
          <w:rFonts w:ascii="DejaVu Serif" w:hAnsi="DejaVu Serif" w:eastAsia="Noto Serif CJK SC"/>
          <w:color w:val="000000"/>
          <w:sz w:val="22"/>
        </w:rPr>
        <w:t xml:space="preserve">Principle of Fairness – Using the balance of interests as the standard for value judgment to adjust the economic interest relationships between civil subjects, and to allocate the rights and obligations of civil subjects through the equilibrium of interests. Fairness and justice are the fundamental requirements for civil judicial activities.</w:t>
      </w:r>
    </w:p>
    <w:tbl>
      <w:tblPr>
        <w:tblStyle w:val="Table"/>
        <w:tblW w:type="pct" w:w="5013"/>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1"/>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principle of fairness – using the balance of interests as the standard for value judgment to adjust the economic interest relationships between civil subjects, and to configure the rights and obligations of civil subjects through the balanced allocation of interests. Fairness and justice are the fundamental requirements for civil judicial activities.</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Principle of Fairness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using the balance of interests as the standard.</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To be cross-referenced with Article 73 【Mutualism】, it demonstrates the author’s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balanced mutual benefit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view of transactions.</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Articles 73, 87, and 35.</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43"/>
    <w:bookmarkStart w:id="144" w:name="X24af933bf0c9f097f6ddff4902690ee291354d4"/>
    <w:p>
      <w:pPr>
        <w:pStyle w:val="Heading3"/>
        <w:spacing w:after="120" w:line="312" w:lineRule="auto"/>
        <w:jc w:val="left"/>
      </w:pPr>
      <w:r>
        <w:rPr>
          <w:rFonts w:ascii="DejaVu Serif" w:hAnsi="DejaVu Serif" w:eastAsia="Noto Serif CJK SC"/>
          <w:color w:val="000000"/>
          <w:sz w:val="26"/>
        </w:rPr>
        <w:t xml:space="preserve">Article 90 【General Principle Four of Civil Activities】</w:t>
      </w:r>
    </w:p>
    <w:p>
      <w:pPr>
        <w:pStyle w:val="FirstParagraph"/>
        <w:spacing w:after="120" w:line="312" w:lineRule="auto"/>
      </w:pPr>
      <w:r>
        <w:rPr>
          <w:rFonts w:ascii="DejaVu Serif" w:hAnsi="DejaVu Serif" w:eastAsia="Noto Serif CJK SC"/>
          <w:color w:val="000000"/>
          <w:sz w:val="22"/>
        </w:rPr>
        <w:t xml:space="preserve">The principle of good faith – honesty and trustworthiness are the fundamental norms of market activities and an important legal principle for guaranteeing transaction order, requiring all civil subjects to be honest and not deceitful, to value credit, and to exercise rights in good faith.</w:t>
      </w:r>
    </w:p>
    <w:tbl>
      <w:tblPr>
        <w:tblStyle w:val="Table"/>
        <w:tblW w:type="pct" w:w="5016"/>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5"/>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principle of good faith – honesty and trustworthiness are the fundamental norms of market activities and an important legal principle for guaranteeing transaction order, requiring all civil subjects to be honest and not deceitful, to value credit, and to exercise rights in good faith.</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Principle of Good Faith</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being honest and not deceitful, valuing credit, and exercising rights in good faith. This is the civil law expression of Article 6’s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utmost good faith</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The principle of good faith is the core of civil activities and is consistent with Article 6 and Article 68-2 【Debt Repayment】; however, Article 91 separately establishes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good faith exemption,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 both must be considered together for completeness.</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Articles 6, 91, and 68-2.</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44"/>
    <w:bookmarkStart w:id="145" w:name="X4322360f30c0c202546017b4737f938b3dc6a9b"/>
    <w:p>
      <w:pPr>
        <w:pStyle w:val="Heading3"/>
        <w:spacing w:after="120" w:line="312" w:lineRule="auto"/>
        <w:jc w:val="left"/>
      </w:pPr>
      <w:r>
        <w:rPr>
          <w:rFonts w:ascii="DejaVu Serif" w:hAnsi="DejaVu Serif" w:eastAsia="Noto Serif CJK SC"/>
          <w:color w:val="000000"/>
          <w:sz w:val="26"/>
        </w:rPr>
        <w:t xml:space="preserve">Article 91 【The Author’s Personal Exemption from the Principle of Good Faith】</w:t>
      </w:r>
    </w:p>
    <w:p>
      <w:pPr>
        <w:pStyle w:val="FirstParagraph"/>
        <w:spacing w:after="120" w:line="312" w:lineRule="auto"/>
      </w:pPr>
      <w:r>
        <w:rPr>
          <w:rFonts w:ascii="DejaVu Serif" w:hAnsi="DejaVu Serif" w:eastAsia="Noto Serif CJK SC"/>
          <w:color w:val="000000"/>
          <w:sz w:val="22"/>
        </w:rPr>
        <w:t xml:space="preserve">Based on the adherence to the principle of good faith as stated above, if any of the following situations occur, the author may breach the principle of good faith and make what the author deems appropriate retention or other reasonable handling of relevant information, behavioral outcomes, resources, etc.: (1) When personal right to life or right to survival is under actual threat by others or other subjects; (2) When personal right to bodily integrity is under actual threat by others or other subjects; (3) When personal right to freedom or strategic autonomous decision-making is under actual threat by others or other subjects; (4) When personal freedom (action) right is long-term (exceeding 7 years or 20 years) restricted or under actual threat by other subjects; (5) When retaining and not disclosing certain information out of good faith due to considering the cognitive level and capacity of other natural persons or subjects; (6) When considering prior commitments to protect one’s own privacy; (7) When performing contractual obligations or legal obligations to protect one’s own privacy;</w:t>
      </w:r>
    </w:p>
    <w:p>
      <w:pPr>
        <w:pStyle w:val="Compact"/>
        <w:numPr>
          <w:ilvl w:val="0"/>
          <w:numId w:val="1021"/>
        </w:numPr>
        <w:spacing w:after="120" w:line="312" w:lineRule="auto"/>
      </w:pPr>
      <w:r>
        <w:rPr>
          <w:rFonts w:ascii="DejaVu Serif" w:hAnsi="DejaVu Serif" w:eastAsia="Noto Serif CJK SC"/>
          <w:color w:val="000000"/>
          <w:sz w:val="22"/>
        </w:rPr>
        <w:t xml:space="preserve">When considering explicit prior commitments to protect the privacy of others (natural persons, legal entities); (9) When performing contractual obligations or legal obligations to protect the privacy of others (natural persons, legal entities); (10) When considering explicit prior commitments to protect the privacy of others (natural persons, legal entities); (11) When performing contractual obligations or legal obligations to protect the commercial secrets of company legal entities created or held by oneself; (12) When performing contractual obligations or legal obligations to protect the commercial secrets of others (natural persons, legal entities); (13) When retaining information due to performing the duty to protect insider information within a specific industry; (14) When performing statutory duties or maintaining overall stability, it is necessary to make certain reservations on specific matters within the scope permitted by law; (15) Other legal and reasonable temporary situations where the author deems it absolutely necessary to breach the principle of good faith (honesty and credit).</w:t>
      </w:r>
    </w:p>
    <w:tbl>
      <w:tblPr>
        <w:tblStyle w:val="Table"/>
        <w:tblW w:type="pct" w:w="5004"/>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6"/>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Based on the adherence to the principle of good faith as stated above, if any of the following situations occur, the author may breach the principle of good faith and make what the author deems appropriate retention or other reasonable handling of relevant information, behavioral outcomes, resources, etc.: (1) When personal right to life or right to survival is under actual threat by others or other subjects; (2) When personal right to bodily integrity is under… threat; (3) When personal right to freedom or strategic autonomous decision-making is under… threat; (4) When personal freedom (action) right is long-term (exceeding 7 years or 20 years) (illegally) restricted or under actual threat by other subjects; (5) When retaining and not disclosing certain information out of good faith due to considering the cognitive level and capacity of other natural persons or subjects; (6) When considering prior commitments to protect one’s own privacy; (7) When performing contractual obligations or legal obligations to protect one’s own privacy; (8) When considering protecting others’… (the full text shall be taken as the authentic text).</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establishes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Exemption from Good Faith</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whenever life, body, freedom, or self-determination are threatened, or in situations such as protecting privacy or treating others with good faith, appropriate retention of information may be made. The legislative intent is that</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good faith is not foolish loyalty, and goodwill has its boundaries.</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The establishment of this Article shows that the author’s good faith is bounded by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self-protection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treating others with good faith,</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to be cross-referenced with Article 9 【Minimum Necessary Disclosure】 and Article 46 【Re-examination upon Trust】.</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Articles 90, 9, and 46.</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45"/>
    <w:bookmarkStart w:id="146" w:name="X6498277debaed1ba1f5b8364390320b9d2eb7bf"/>
    <w:p>
      <w:pPr>
        <w:pStyle w:val="Heading3"/>
        <w:spacing w:after="120" w:line="312" w:lineRule="auto"/>
        <w:jc w:val="left"/>
      </w:pPr>
      <w:r>
        <w:rPr>
          <w:rFonts w:ascii="DejaVu Serif" w:hAnsi="DejaVu Serif" w:eastAsia="Noto Serif CJK SC"/>
          <w:color w:val="000000"/>
          <w:sz w:val="26"/>
        </w:rPr>
        <w:t xml:space="preserve">Article 92 【General Principle Five of Civil Activities】</w:t>
      </w:r>
    </w:p>
    <w:p>
      <w:pPr>
        <w:pStyle w:val="FirstParagraph"/>
        <w:spacing w:after="120" w:line="312" w:lineRule="auto"/>
      </w:pPr>
      <w:r>
        <w:rPr>
          <w:rFonts w:ascii="DejaVu Serif" w:hAnsi="DejaVu Serif" w:eastAsia="Noto Serif CJK SC"/>
          <w:color w:val="000000"/>
          <w:sz w:val="22"/>
        </w:rPr>
        <w:t xml:space="preserve">The Green Principle – When civil subjects engage in civil activities, they shall act in a manner conducive to conserving resources and protecting the ecological environment. This principle not only carries forward the traditional cultural concept of harmony between heaven, earth, and humanity, and between humans and nature, but also embodies new developmental ideas, helping to alleviate the growing contradiction between our country’s continuously increasing population and its resources and ecology.</w:t>
      </w:r>
    </w:p>
    <w:tbl>
      <w:tblPr>
        <w:tblStyle w:val="Table"/>
        <w:tblW w:type="pct" w:w="5010"/>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5"/>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Green Principle – When civil subjects engage in civil activities, they shall act in a manner conducive to conserving resources and protecting the ecological environment. This principle not only carries forward the traditional cultural concept of harmony between heaven, earth, and humanity, and between humans and nature, but also embodies new developmental ideas, helping to alleviate the growing contradiction between our country’s continuously increasing population and its resources and ecology.</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Green Principle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conserving resources and protecting the ecology.</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To be cross-referenced with Article 1</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Minimalism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 Article 49 【Purchase MVP】, demonstrating the Charter-Maker’s life and business philosophy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minimalism and sustainability.</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 Article 49, Annex A.04.001.</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46"/>
    <w:bookmarkStart w:id="147" w:name="X451d9ef3fa37de57be3a7294da82b6b7c723082"/>
    <w:p>
      <w:pPr>
        <w:pStyle w:val="Heading3"/>
        <w:spacing w:after="120" w:line="312" w:lineRule="auto"/>
        <w:jc w:val="left"/>
      </w:pPr>
      <w:r>
        <w:rPr>
          <w:rFonts w:ascii="DejaVu Serif" w:hAnsi="DejaVu Serif" w:eastAsia="Noto Serif CJK SC"/>
          <w:color w:val="000000"/>
          <w:sz w:val="26"/>
        </w:rPr>
        <w:t xml:space="preserve">Article 93 【The Meaning of Patriotism and Exemptions】</w:t>
      </w:r>
    </w:p>
    <w:p>
      <w:pPr>
        <w:pStyle w:val="FirstParagraph"/>
        <w:spacing w:after="120" w:line="312" w:lineRule="auto"/>
      </w:pPr>
      <w:r>
        <w:rPr>
          <w:rFonts w:ascii="DejaVu Serif" w:hAnsi="DejaVu Serif" w:eastAsia="Noto Serif CJK SC"/>
          <w:color w:val="000000"/>
          <w:sz w:val="22"/>
        </w:rPr>
        <w:t xml:space="preserve">The essence of a state is purely a concept in the human mind; its essence is a collection of specific persons (groups) based on interests. The naked essence of patriotism is a conceptual</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interest identification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interest bundling,</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well as identity recognition based on the aforementioned identification. Therefore, it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patriotism</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state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concept) can be used as a tool and means for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interest identification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interest bundling.</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However, the utilization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patriotism</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may or must be exempted in the following situations: (1) When practicing the concept of patriotism, an individual’s right to life and right to survival are long-term (exceeding 7 years or 20 years) restricted (illegally) or otherwise realistically threatened by other subjects; (2) When practicing the concept of patriotism, an individual’s right to bodily integrity, physical and mental health, etc., are realistically threatened by others or other subjects; (3) When practicing the concept of patriotism, an individual’s right to freedom, right to strategic autonomous decision-making, right to thought and action freedom, etc., are realistically threatened by others or other subjects; (4) When practicing the concept of patriotism, an individual’s right to choose a free lifestyle, right to choose place of residence, right to choose profession or career, etc., are realistically threatened; (5) When practicing the concept of patriotism, an individual’s core rights and interests as stipulated in Items 1-10 of Paragraph 1 of this Charter’s Article 3 are realistically and substantively threatened by others or other subjects (including but not limited to the state of current residence, the ruling/administrative state organs of the so-called mother country), by means including but not limited to the military, violence, legal imprisonment or any other method; (6) Other situations where practicing the concept of patriotism may cause an individual’s core interests to suffer potential loss.</w:t>
      </w:r>
    </w:p>
    <w:tbl>
      <w:tblPr>
        <w:tblStyle w:val="Table"/>
        <w:tblW w:type="pct" w:w="5004"/>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6"/>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essence of a state is purely a concept in the human mind; its essence is a collection of specific persons (groups) based on interests. The naked essence of patriotism is a conceptual</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interest identification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interest bundling,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well as identity recognition based on the aforementioned identification. Therefore, it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patriotism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state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concept) can be used as a tool and means for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interest identification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interest bundling.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However, the utilization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patriotism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may or must be exempted in the following situations: (1) When practicing the concept of patriotism, an individual’s right to life and right to survival are long-term (exceeding 7 years or 20 years) restricted (illegally) or otherwise realistically threatened by other subjects; (2) When practicing the concept of patriotism, an individual’s right to bodily integrity, physical and mental health, etc., are realistically threatened by others or other subjects; (3) When practicing the concept of patriotism, an individual’s right to freedom, right to strategic autonomous decision-making, right to thought and action freedom, etc., are realistically threatened by others or other subjects; …</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deconstructs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state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patriotism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from an essentialist perspective – both are conceptual tools for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interest identification and bundling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at the same time, it establishes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exemption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situations to protect the Charter-Maker’s fundamental rights. This is in the same vein as Article 7 【Cosmic Citizen】 and Article 46 【The State is a Conceptual Thing】.</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The purpose of this Article is to</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understand its essence without being bound by it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neither blind obedience nor contempt; when fundamental rights are threatened, exemption from practicing patriotism may be claimed. This, together with Articles 94 to 99, constitutes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political neutrality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system.</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7, Article 46, Articles 94 to 99, Article 125.</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47"/>
    <w:bookmarkStart w:id="148" w:name="X2457ded67b3bc7a18f1d5532bcc00172da2507c"/>
    <w:p>
      <w:pPr>
        <w:pStyle w:val="Heading3"/>
        <w:spacing w:after="120" w:line="312" w:lineRule="auto"/>
        <w:jc w:val="left"/>
      </w:pPr>
      <w:r>
        <w:rPr>
          <w:rFonts w:ascii="DejaVu Serif" w:hAnsi="DejaVu Serif" w:eastAsia="Noto Serif CJK SC"/>
          <w:color w:val="000000"/>
          <w:sz w:val="26"/>
        </w:rPr>
        <w:t xml:space="preserve">Article 94 【The Principle of Non-Participation in War】</w:t>
      </w:r>
    </w:p>
    <w:p>
      <w:pPr>
        <w:pStyle w:val="FirstParagraph"/>
        <w:spacing w:after="120" w:line="312" w:lineRule="auto"/>
      </w:pPr>
      <w:r>
        <w:rPr>
          <w:rFonts w:ascii="DejaVu Serif" w:hAnsi="DejaVu Serif" w:eastAsia="Noto Serif CJK SC"/>
          <w:color w:val="000000"/>
          <w:sz w:val="22"/>
        </w:rPr>
        <w:t xml:space="preserve">Under no circumstances shall one enlist in the military or participate in any war for any reason.</w:t>
      </w:r>
    </w:p>
    <w:tbl>
      <w:tblPr>
        <w:tblStyle w:val="Table"/>
        <w:tblW w:type="pct" w:w="5012"/>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8"/>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Under no circumstances shall one enlist in the military or participate in any war for any reason.</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establishes the absolute principle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non-participation in war</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no military enlistment, no participation in war.</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serves as the main basis for Annex D.01.001</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Implementation Regulations for the Principle of Non-Participation in War</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(+21 articles), and together with Article 144 【Dual Iron Law of Organizational Participation】 (excluding military organizations) and Article 95 【Non-Political Parties】, constitutes a principle group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not participating in rigid organizations.</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144, Article 95, Annex D.01.001 【Implementation Regulations for the Principle of Non-Participation in War】, Annex A.08.001.</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48"/>
    <w:bookmarkStart w:id="149" w:name="X42eec48f9e6a7e7b27fa8256fe3456bcaf9708b"/>
    <w:p>
      <w:pPr>
        <w:pStyle w:val="Heading3"/>
        <w:spacing w:after="120" w:line="312" w:lineRule="auto"/>
        <w:jc w:val="left"/>
      </w:pPr>
      <w:r>
        <w:rPr>
          <w:rFonts w:ascii="DejaVu Serif" w:hAnsi="DejaVu Serif" w:eastAsia="Noto Serif CJK SC"/>
          <w:color w:val="000000"/>
          <w:sz w:val="26"/>
        </w:rPr>
        <w:t xml:space="preserve">Article 95 【The Principle of Non-Participation in Political Parties】</w:t>
      </w:r>
    </w:p>
    <w:p>
      <w:pPr>
        <w:pStyle w:val="FirstParagraph"/>
        <w:spacing w:after="120" w:line="312" w:lineRule="auto"/>
      </w:pPr>
      <w:r>
        <w:rPr>
          <w:rFonts w:ascii="DejaVu Serif" w:hAnsi="DejaVu Serif" w:eastAsia="Noto Serif CJK SC"/>
          <w:color w:val="000000"/>
          <w:sz w:val="22"/>
        </w:rPr>
        <w:t xml:space="preserve">Under no circumstances shall one join any political party based on any interest or intention, nor support or oppose any political party.</w:t>
      </w:r>
    </w:p>
    <w:tbl>
      <w:tblPr>
        <w:tblStyle w:val="Table"/>
        <w:tblW w:type="pct" w:w="5014"/>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2"/>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Under no circumstances shall one join any political party based on any interest or intention, nor support or oppose any political party.</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establishes the principle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non-participation in political parties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—no joining of parties, no support or opposition.</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It is connected with Article 96 【Principle of Non-political Stance】 and Article 144 【Dual Iron Law of Organizational Participation】. According to Article 6 of Annex A.08.001, political parties are neither self-established nor voluntarily recognized for joining, thus falling within the scope of exclusion.</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78, Article 96, Article 144, Annex A.08.001.</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49"/>
    <w:bookmarkStart w:id="150" w:name="X846c427af3c6691264d244fa181f56a849a860c"/>
    <w:p>
      <w:pPr>
        <w:pStyle w:val="Heading3"/>
        <w:spacing w:after="120" w:line="312" w:lineRule="auto"/>
        <w:jc w:val="left"/>
      </w:pPr>
      <w:r>
        <w:rPr>
          <w:rFonts w:ascii="DejaVu Serif" w:hAnsi="DejaVu Serif" w:eastAsia="Noto Serif CJK SC"/>
          <w:color w:val="000000"/>
          <w:sz w:val="26"/>
        </w:rPr>
        <w:t xml:space="preserve">Article 96 【The Principle of Not Taking a Political Stance】</w:t>
      </w:r>
    </w:p>
    <w:p>
      <w:pPr>
        <w:pStyle w:val="FirstParagraph"/>
        <w:spacing w:after="120" w:line="312" w:lineRule="auto"/>
      </w:pPr>
      <w:r>
        <w:rPr>
          <w:rFonts w:ascii="DejaVu Serif" w:hAnsi="DejaVu Serif" w:eastAsia="Noto Serif CJK SC"/>
          <w:color w:val="000000"/>
          <w:sz w:val="22"/>
        </w:rPr>
        <w:t xml:space="preserve">Under any circumstances, I shall adhere to the principle of not intending to support or oppose any political stance, any (state) political party, any other political organization, any political slogan advocacy, and not explicitly advocating for or against any political</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ideology.</w:t>
      </w:r>
      <w:r>
        <w:rPr>
          <w:rFonts w:ascii="DejaVu Serif" w:hAnsi="DejaVu Serif" w:eastAsia="Noto Serif CJK SC"/>
          <w:color w:val="000000"/>
          <w:sz w:val="22"/>
        </w:rPr>
        <w:t xml:space="preserve">”</w:t>
      </w:r>
    </w:p>
    <w:tbl>
      <w:tblPr>
        <w:tblStyle w:val="Table"/>
        <w:tblW w:type="pct" w:w="5017"/>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6"/>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Under any circumstances, I shall adhere to the principle of not intending to support or oppose any political stance, any (state) political party, any other political organization, any political slogan advocacy, and not explicitly advocating for or against any political</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ideology.</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establishes the principle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non-political stance</w:t>
            </w:r>
            <w:r>
              <w:rPr>
                <w:rFonts w:ascii="DejaVu Serif" w:hAnsi="DejaVu Serif" w:eastAsia="Noto Sans CJK SC"/>
                <w:color w:val="000000"/>
                <w:sz w:val="19"/>
              </w:rPr>
              <w:t xml:space="preserve">”</w:t>
            </w:r>
            <w:r>
              <w:rPr>
                <w:rFonts w:ascii="DejaVu Serif" w:hAnsi="DejaVu Serif" w:eastAsia="Noto Sans CJK SC"/>
                <w:color w:val="000000"/>
                <w:sz w:val="19"/>
              </w:rPr>
              <w:t xml:space="preserve">—no support or opposition to political stances, parties, organizations, slogans, or ideologies.</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echoes Article 7 【Cosmic Citizen】, establishing my stance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transcending politics.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However, Article 96-2 provides for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necessary exceptions.</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7, Article 95, Article 96-2, Article 144.</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50"/>
    <w:bookmarkStart w:id="151" w:name="X11cac3dcf8fc45d918b9205b1067df5dfe64dc8"/>
    <w:p>
      <w:pPr>
        <w:pStyle w:val="Heading3"/>
        <w:spacing w:after="120" w:line="312" w:lineRule="auto"/>
        <w:jc w:val="left"/>
      </w:pPr>
      <w:r>
        <w:rPr>
          <w:rFonts w:ascii="DejaVu Serif" w:hAnsi="DejaVu Serif" w:eastAsia="Noto Serif CJK SC"/>
          <w:color w:val="000000"/>
          <w:sz w:val="26"/>
        </w:rPr>
        <w:t xml:space="preserve">Article 96-2 【Necessary Exceptions to the Principle of Not Taking a Political Stance】</w:t>
      </w:r>
    </w:p>
    <w:p>
      <w:pPr>
        <w:pStyle w:val="FirstParagraph"/>
        <w:spacing w:after="120" w:line="312" w:lineRule="auto"/>
      </w:pPr>
      <w:r>
        <w:rPr>
          <w:rFonts w:ascii="DejaVu Serif" w:hAnsi="DejaVu Serif" w:eastAsia="Noto Serif CJK SC"/>
          <w:color w:val="000000"/>
          <w:sz w:val="22"/>
        </w:rPr>
        <w:t xml:space="preserve">Under corresponding principle circumstances, the following situations may be subject to discretionary necessary exemptions:</w:t>
      </w:r>
    </w:p>
    <w:p>
      <w:pPr>
        <w:pStyle w:val="Compact"/>
        <w:numPr>
          <w:ilvl w:val="0"/>
          <w:numId w:val="1022"/>
        </w:numPr>
        <w:spacing w:after="120" w:line="312" w:lineRule="auto"/>
      </w:pPr>
      <w:r>
        <w:rPr>
          <w:rFonts w:ascii="DejaVu Serif" w:hAnsi="DejaVu Serif" w:eastAsia="Noto Serif CJK SC"/>
          <w:color w:val="000000"/>
          <w:sz w:val="22"/>
        </w:rPr>
        <w:t xml:space="preserve">Where it is necessary for the conclusion of (long-term) cooperation with a counterpart due to one’s critical and necessary work appointment or performance of duties, or in compliance with necessary requirements; (2) Where engaging in the situations described in (1) does not necessarily require mandatory joining of a specific party or faction, or carrying out unnecessary party activities such as, but not limited to, election canvassing and non-duty-required promotional work for such parties; (3) Other exemptible situations of the same nature as described above. *#This clause was newly added pursuant to Article 2 of the Second Amendment, clarifying the exceptional circumstances to the principle of non-political stance, adapting to cooperation needs in work performance, and avoiding hindrance to the advancement of core affairs due to rigid principles#</w:t>
      </w:r>
    </w:p>
    <w:tbl>
      <w:tblPr>
        <w:tblStyle w:val="Table"/>
        <w:tblW w:type="pct" w:w="5006"/>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0"/>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Under corresponding principle circumstances, the following situations may be subject to discretionary necessary exemptions: (1) Where it is necessary for the conclusion of (long-term) cooperation with a counterpart due to one’s critical and necessary work appointment or performance of duties, or in compliance with necessary requirements; (2) Where engaging in the situations described in (1) does not necessarily require mandatory joining of a specific party or faction, or carrying out unnecessary party activities such as, but not limited to, election canvassing and non-duty-required promotional work for such parties; (3) Other exemptible situations of the same nature as described above. * (This clause was newly added pursuant to Article 2 of the Second Amendment.)*</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was newly added by the Second Amendment, establishing a</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duty-based cooperation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necessary exception for Article 96—where cooperation with a counterpart is necessary due to critical work or performance of duties, discretionary exemption may be granted. Its purpose is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principles are not rigid, cooperation has room.</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The exception is strictly limited to</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duty-necessity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 explicitly states that it</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does not necessarily require joining a specific party or carrying out unnecessary party activities,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with clear boundaries. Article 96-3 further clarifies its boundaries to prevent misunderstanding as a reduction in cooperation.</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96, Article 96-3, Second Amendment (Annex A.02.001).</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51"/>
    <w:bookmarkStart w:id="152" w:name="X878874e419f18117156631d1dce74e8161ecc27"/>
    <w:p>
      <w:pPr>
        <w:pStyle w:val="Heading3"/>
        <w:spacing w:after="120" w:line="312" w:lineRule="auto"/>
        <w:jc w:val="left"/>
      </w:pPr>
      <w:r>
        <w:rPr>
          <w:rFonts w:ascii="DejaVu Serif" w:hAnsi="DejaVu Serif" w:eastAsia="Noto Serif CJK SC"/>
          <w:color w:val="000000"/>
          <w:sz w:val="26"/>
        </w:rPr>
        <w:t xml:space="preserve">Article 96-3 【The Boundaries of the Content of Article 96-2 and the Meaning Expressed by the Body of Article 96】</w:t>
      </w:r>
    </w:p>
    <w:p>
      <w:pPr>
        <w:pStyle w:val="FirstParagraph"/>
        <w:spacing w:after="120" w:line="312" w:lineRule="auto"/>
      </w:pPr>
      <w:r>
        <w:rPr>
          <w:rFonts w:ascii="DejaVu Serif" w:hAnsi="DejaVu Serif" w:eastAsia="Noto Serif CJK SC"/>
          <w:color w:val="000000"/>
          <w:sz w:val="22"/>
        </w:rPr>
        <w:t xml:space="preserve">The content of Article 96-2 and the text of Article 96 do not constitute an expression of prohibiting or restricting my cooperation with a specific political party of my nationality as a cooperator, nor do they imply a reduction in the intensity, depth, or breadth of cooperation with such party. *#This clause was newly added pursuant to Article 3 of the Second Amendment, clarifying the boundaries of the clause, avoiding misunderstanding of cooperation willingness, and guaranteeing space for cooperation with legitimate entities#</w:t>
      </w:r>
    </w:p>
    <w:tbl>
      <w:tblPr>
        <w:tblStyle w:val="Table"/>
        <w:tblW w:type="pct" w:w="5013"/>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0"/>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content of Article 96-2 and the text of Article 96 do not constitute an expression of prohibiting or restricting my cooperation with a specific political party of my nationality as a cooperator, nor do they imply a reduction in the intensity, depth, or breadth of cooperation with such party. * (This clause was newly added pursuant to Article 3 of the Second Amendment.)*</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clarifies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boundary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Article 96 and 96-2—it does not constitute a prohibition or restriction on cooperation, nor does it reduce the intensity of cooperation. Its purpose is that</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political neutrality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does not hinder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commercial cooperation.</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complements Article 96-2, demonstrating my balance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transcending politically, open to cooperation.</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96, Article 96-2, Article 78, Article 84.</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52"/>
    <w:bookmarkStart w:id="153" w:name="Xda4fe37ae5528e0a70befc507174104245712aa"/>
    <w:p>
      <w:pPr>
        <w:pStyle w:val="Heading3"/>
        <w:spacing w:after="120" w:line="312" w:lineRule="auto"/>
        <w:jc w:val="left"/>
      </w:pPr>
      <w:r>
        <w:rPr>
          <w:rFonts w:ascii="DejaVu Serif" w:hAnsi="DejaVu Serif" w:eastAsia="Noto Serif CJK SC"/>
          <w:color w:val="000000"/>
          <w:sz w:val="26"/>
        </w:rPr>
        <w:t xml:space="preserve">Article 97 【The Principle of Ethnic Equality】</w:t>
      </w:r>
    </w:p>
    <w:p>
      <w:pPr>
        <w:pStyle w:val="FirstParagraph"/>
        <w:spacing w:after="120" w:line="312" w:lineRule="auto"/>
      </w:pPr>
      <w:r>
        <w:rPr>
          <w:rFonts w:ascii="DejaVu Serif" w:hAnsi="DejaVu Serif" w:eastAsia="Noto Serif CJK SC"/>
          <w:color w:val="000000"/>
          <w:sz w:val="22"/>
        </w:rPr>
        <w:t xml:space="preserve">Under any circumstances, one shall not be influenced by nationalism, nationality, nation, or race.</w:t>
      </w:r>
    </w:p>
    <w:tbl>
      <w:tblPr>
        <w:tblStyle w:val="Table"/>
        <w:tblW w:type="pct" w:w="5023"/>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56"/>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Under any circumstances, one shall not be influenced by nationalism, nationality, nation, or race.</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establishes the principle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national equality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—unaffected by ethnicity, nationality, or race.</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It connects with Article 7 【Cosmic Citizen】, Article 99 【Equal Attitude Towards Others】, and serves as the guiding principle for my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cross-cultural, cross-ethnic</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interactions.</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7, Article 99, Article 44.</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53"/>
    <w:bookmarkStart w:id="154" w:name="Xb92665875ec650aaa4030ca43814879b4911e5a"/>
    <w:p>
      <w:pPr>
        <w:pStyle w:val="Heading3"/>
        <w:spacing w:after="120" w:line="312" w:lineRule="auto"/>
        <w:jc w:val="left"/>
      </w:pPr>
      <w:r>
        <w:rPr>
          <w:rFonts w:ascii="DejaVu Serif" w:hAnsi="DejaVu Serif" w:eastAsia="Noto Serif CJK SC"/>
          <w:color w:val="000000"/>
          <w:sz w:val="26"/>
        </w:rPr>
        <w:t xml:space="preserve">Article 98 【The Absolute Ultimate Baseline of Life Activities】</w:t>
      </w:r>
    </w:p>
    <w:p>
      <w:pPr>
        <w:pStyle w:val="FirstParagraph"/>
        <w:spacing w:after="120" w:line="312" w:lineRule="auto"/>
      </w:pPr>
      <w:r>
        <w:rPr>
          <w:rFonts w:ascii="DejaVu Serif" w:hAnsi="DejaVu Serif" w:eastAsia="Noto Serif CJK SC"/>
          <w:color w:val="000000"/>
          <w:sz w:val="22"/>
        </w:rPr>
        <w:t xml:space="preserve">Under any circumstances, do not participate in gambling-related activities (except when I am not under the jurisdiction of Chinese law), organizations of a criminal nature, drug-related activities, or engage in obscene and pornographic-related main activities other than viewing such content. *#This clause supplements the original text with an exception for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jurisdictions not under Chinese law,</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based on this Charter’s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Principle of Illegality Rejection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2), to adapt to legal differences in cross-border activities.#</w:t>
      </w:r>
    </w:p>
    <w:tbl>
      <w:tblPr>
        <w:tblStyle w:val="Table"/>
        <w:tblW w:type="pct" w:w="5012"/>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9"/>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Under any circumstances, do not participate in gambling-related activities (except when I am not under the jurisdiction of Chinese law), organizations of a criminal nature, drug-related activities, or engage in obscene and pornographic-related main activities other than viewing such content.</w:t>
            </w:r>
            <w:r>
              <w:rPr>
                <w:rFonts w:ascii="DejaVu Serif" w:hAnsi="DejaVu Serif" w:eastAsia="Noto Sans CJK SC"/>
                <w:color w:val="000000"/>
                <w:sz w:val="19"/>
              </w:rPr>
              <w:t xml:space="preserve"> </w:t>
            </w:r>
            <w:r>
              <w:rPr>
                <w:rFonts w:ascii="DejaVu Serif" w:hAnsi="DejaVu Serif" w:eastAsia="Noto Sans CJK SC"/>
                <w:i/>
                <w:iCs/>
                <w:color w:val="000000"/>
                <w:sz w:val="19"/>
              </w:rPr>
              <w:t xml:space="preserve">#This clause supplements the original text with the exception of</w:t>
            </w:r>
            <w:r>
              <w:rPr>
                <w:rFonts w:ascii="DejaVu Serif" w:hAnsi="DejaVu Serif" w:eastAsia="Noto Sans CJK SC"/>
                <w:i/>
                <w:iCs/>
                <w:color w:val="000000"/>
                <w:sz w:val="19"/>
              </w:rPr>
              <w:t xml:space="preserve"> </w:t>
            </w:r>
            <w:r>
              <w:rPr>
                <w:rFonts w:ascii="DejaVu Serif" w:hAnsi="DejaVu Serif" w:eastAsia="Noto Sans CJK SC"/>
                <w:i/>
                <w:iCs/>
                <w:color w:val="000000"/>
                <w:sz w:val="19"/>
              </w:rPr>
              <w:t xml:space="preserve">“</w:t>
            </w:r>
            <w:r>
              <w:rPr>
                <w:rFonts w:ascii="DejaVu Serif" w:hAnsi="DejaVu Serif" w:eastAsia="Noto Sans CJK SC"/>
                <w:i/>
                <w:iCs/>
                <w:color w:val="000000"/>
                <w:sz w:val="19"/>
              </w:rPr>
              <w:t xml:space="preserve">jurisdictions not under Chinese law.</w:t>
            </w:r>
            <w:r>
              <w:rPr>
                <w:rFonts w:ascii="DejaVu Serif" w:hAnsi="DejaVu Serif" w:eastAsia="Noto Sans CJK SC"/>
                <w:i/>
                <w:iCs/>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ultimate bottom line</w:t>
            </w:r>
            <w:r>
              <w:rPr>
                <w:rFonts w:ascii="DejaVu Serif" w:hAnsi="DejaVu Serif" w:eastAsia="Noto Sans CJK SC"/>
                <w:color w:val="000000"/>
                <w:sz w:val="19"/>
              </w:rPr>
              <w:t xml:space="preserve">”</w:t>
            </w:r>
            <w:r>
              <w:rPr>
                <w:rFonts w:ascii="DejaVu Serif" w:hAnsi="DejaVu Serif" w:eastAsia="Noto Sans CJK SC"/>
                <w:color w:val="000000"/>
                <w:sz w:val="19"/>
              </w:rPr>
              <w:t xml:space="preserve">—do not participate in gambling (except extraterritorially), organized crime, drugs, or engage in obscene and pornographic activities. It is the absolute bottom line for my conduct.</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It echoes Article 13-2 (Prohibition of Sexual Acts) and Article 61 【Negative List】. The gambling item uses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territoriality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an exception, consistent with item (11) of Article 13-2.</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13-2, Article 61, Article 125.</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54"/>
    <w:bookmarkStart w:id="155" w:name="X83bac6d74f47b8970191f751e52ed3298f2978e"/>
    <w:p>
      <w:pPr>
        <w:pStyle w:val="Heading3"/>
        <w:spacing w:after="120" w:line="312" w:lineRule="auto"/>
        <w:jc w:val="left"/>
      </w:pPr>
      <w:r>
        <w:rPr>
          <w:rFonts w:ascii="DejaVu Serif" w:hAnsi="DejaVu Serif" w:eastAsia="Noto Serif CJK SC"/>
          <w:color w:val="000000"/>
          <w:sz w:val="26"/>
        </w:rPr>
        <w:t xml:space="preserve">Article 99 【The Principle of Treating Others with an Equal Attitude】</w:t>
      </w:r>
    </w:p>
    <w:p>
      <w:pPr>
        <w:pStyle w:val="FirstParagraph"/>
        <w:spacing w:after="120" w:line="312" w:lineRule="auto"/>
      </w:pPr>
      <w:r>
        <w:rPr>
          <w:rFonts w:ascii="DejaVu Serif" w:hAnsi="DejaVu Serif" w:eastAsia="Noto Serif CJK SC"/>
          <w:color w:val="000000"/>
          <w:sz w:val="22"/>
        </w:rPr>
        <w:t xml:space="preserve">Under any circumstances, do not view anyone with an unequal attitude (including so-called high-ranking and powerful individuals and those of low status).</w:t>
      </w:r>
    </w:p>
    <w:tbl>
      <w:tblPr>
        <w:tblStyle w:val="Table"/>
        <w:tblW w:type="pct" w:w="5021"/>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53"/>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Under any circumstances, do not view anyone with an unequal attitude (including so-called high-ranking and powerful individuals and those of low status).</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establishes the principle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equal attitude towards others</w:t>
            </w:r>
            <w:r>
              <w:rPr>
                <w:rFonts w:ascii="DejaVu Serif" w:hAnsi="DejaVu Serif" w:eastAsia="Noto Sans CJK SC"/>
                <w:color w:val="000000"/>
                <w:sz w:val="19"/>
              </w:rPr>
              <w:t xml:space="preserve">”</w:t>
            </w:r>
            <w:r>
              <w:rPr>
                <w:rFonts w:ascii="DejaVu Serif" w:hAnsi="DejaVu Serif" w:eastAsia="Noto Sans CJK SC"/>
                <w:color w:val="000000"/>
                <w:sz w:val="19"/>
              </w:rPr>
              <w:t xml:space="preserve">—treating all equally regardless of status.</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It cross-references with Article 44 【Same Personality】, Article 67 【Anti-Labeling】, and Article 118 【Equal Respect】, serving as the operational principle for my view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personality equality.</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44, Article 67, Article 118.</w:t>
            </w:r>
          </w:p>
        </w:tc>
      </w:tr>
    </w:tbl>
    <w:bookmarkEnd w:id="155"/>
    <w:bookmarkEnd w:id="156"/>
    <w:bookmarkStart w:id="164" w:name="X3229304d5c149a985671c935bfa265e86081fb8"/>
    <w:p>
      <w:pPr>
        <w:pStyle w:val="Heading2"/>
        <w:spacing w:after="160" w:line="312" w:lineRule="auto"/>
        <w:jc w:val="left"/>
      </w:pPr>
      <w:r>
        <w:rPr>
          <w:rFonts w:ascii="DejaVu Serif" w:hAnsi="DejaVu Serif" w:eastAsia="Noto Serif CJK SC"/>
          <w:color w:val="000000"/>
          <w:sz w:val="30"/>
        </w:rPr>
        <w:t xml:space="preserve">Volume Ten Intellectual Property and Marriage and Family Chapter</w:t>
      </w:r>
    </w:p>
    <w:p>
      <w:pPr>
        <w:spacing w:after="120" w:line="312" w:lineRule="auto"/>
      </w:pPr>
      <w:r>
        <w:rPr>
          <w:rFonts w:ascii="DejaVu Serif" w:hAnsi="DejaVu Serif" w:eastAsia="Noto Serif CJK SC"/>
          <w:color w:val="000000"/>
          <w:sz w:val="22"/>
        </w:rPr>
        <w:pict>
          <v:rect style="width:0;height:1.5pt" o:hralign="center" o:hrstd="t" o:hr="t"/>
        </w:pict>
      </w:r>
    </w:p>
    <w:bookmarkStart w:id="157" w:name="Xdbb1ff46af5702834b17d3baa1ba53bbe5eb520"/>
    <w:p>
      <w:pPr>
        <w:pStyle w:val="Heading3"/>
        <w:spacing w:after="120" w:line="312" w:lineRule="auto"/>
        <w:jc w:val="left"/>
      </w:pPr>
      <w:r>
        <w:rPr>
          <w:rFonts w:ascii="DejaVu Serif" w:hAnsi="DejaVu Serif" w:eastAsia="Noto Serif CJK SC"/>
          <w:color w:val="000000"/>
          <w:sz w:val="26"/>
        </w:rPr>
        <w:t xml:space="preserve">Article 100 【IPR: Intellectual Property Rights】</w:t>
      </w:r>
    </w:p>
    <w:p>
      <w:pPr>
        <w:pStyle w:val="FirstParagraph"/>
        <w:spacing w:after="120" w:line="312" w:lineRule="auto"/>
      </w:pPr>
      <w:r>
        <w:rPr>
          <w:rFonts w:ascii="DejaVu Serif" w:hAnsi="DejaVu Serif" w:eastAsia="Noto Serif CJK SC"/>
          <w:color w:val="000000"/>
          <w:sz w:val="22"/>
        </w:rPr>
        <w:t xml:space="preserve">Intellectual property is the capitalization of intellectual labor achievements, and one pillar of the financial ark.</w:t>
      </w:r>
    </w:p>
    <w:tbl>
      <w:tblPr>
        <w:tblStyle w:val="Table"/>
        <w:tblW w:type="pct" w:w="5020"/>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51"/>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Intellectual property is the capitalization of intellectual labor achievements, and one pillar of the financial ark.</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defines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intellectual property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the capitalization of intellectual achievements, as one major pillar of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financial ark.</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(Articles 100 to 103 collectively constitute the four principles of IPR.)</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It cross-references with Article 8-5 【Non-monetary Contributions Include IPR】 and Article 21 【Ultimate Goals Include IPR】, demonstrating my financial perspective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treating IPR as assets.</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101 to Article 103, Article 8-5, Article 21.</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57"/>
    <w:bookmarkStart w:id="158" w:name="X7f7c4bb15bdd8cf63fc209214720ca0e83bae92"/>
    <w:p>
      <w:pPr>
        <w:pStyle w:val="Heading3"/>
        <w:spacing w:after="120" w:line="312" w:lineRule="auto"/>
        <w:jc w:val="left"/>
      </w:pPr>
      <w:r>
        <w:rPr>
          <w:rFonts w:ascii="DejaVu Serif" w:hAnsi="DejaVu Serif" w:eastAsia="Noto Serif CJK SC"/>
          <w:color w:val="000000"/>
          <w:sz w:val="26"/>
        </w:rPr>
        <w:t xml:space="preserve">Article 101 【Copyright and Its Handling Principles】</w:t>
      </w:r>
    </w:p>
    <w:p>
      <w:pPr>
        <w:pStyle w:val="FirstParagraph"/>
        <w:spacing w:after="120" w:line="312" w:lineRule="auto"/>
      </w:pPr>
      <w:r>
        <w:rPr>
          <w:rFonts w:ascii="DejaVu Serif" w:hAnsi="DejaVu Serif" w:eastAsia="Noto Serif CJK SC"/>
          <w:color w:val="000000"/>
          <w:sz w:val="22"/>
        </w:rPr>
        <w:t xml:space="preserve">Copyright is a branch under intellectual property, a pillar under a pillar of the financial ark; specifically enjoyed through the publication of individual, innovative, and personalized books, audio, and video content.</w:t>
      </w:r>
    </w:p>
    <w:tbl>
      <w:tblPr>
        <w:tblStyle w:val="Table"/>
        <w:tblW w:type="pct" w:w="5021"/>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53"/>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Copyright is a branch under intellectual property, a pillar under a pillar of the financial ark; specifically enjoyed through the publication of individual, innovative, and personalized books, audio, and video content.</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defines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copyright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a pillar under a pillar of the financial ark, enjoyed through the publication of books, audio, and video content.</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It cross-references with Article 2</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Multilingual Writer</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 Article 53</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Multilingual Writing,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indicating that my life’s focus on writing and publishing is essential for IPR.</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2, Article 53, Article 100.</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58"/>
    <w:bookmarkStart w:id="159" w:name="X2a437d80f09f3524877589d5fe69b8a0b1c7105"/>
    <w:p>
      <w:pPr>
        <w:pStyle w:val="Heading3"/>
        <w:spacing w:after="120" w:line="312" w:lineRule="auto"/>
        <w:jc w:val="left"/>
      </w:pPr>
      <w:r>
        <w:rPr>
          <w:rFonts w:ascii="DejaVu Serif" w:hAnsi="DejaVu Serif" w:eastAsia="Noto Serif CJK SC"/>
          <w:color w:val="000000"/>
          <w:sz w:val="26"/>
        </w:rPr>
        <w:t xml:space="preserve">Article 102 【Trademark Rights and Their Handling Principles】</w:t>
      </w:r>
    </w:p>
    <w:p>
      <w:pPr>
        <w:pStyle w:val="FirstParagraph"/>
        <w:spacing w:after="120" w:line="312" w:lineRule="auto"/>
      </w:pPr>
      <w:r>
        <w:rPr>
          <w:rFonts w:ascii="DejaVu Serif" w:hAnsi="DejaVu Serif" w:eastAsia="Noto Serif CJK SC"/>
          <w:color w:val="000000"/>
          <w:sz w:val="22"/>
        </w:rPr>
        <w:t xml:space="preserve">Trademark rights are a branch under intellectual property, a pillar under a pillar of the financial ark; specifically enjoyed through the act of registering individual commercial identifiers.</w:t>
      </w:r>
    </w:p>
    <w:tbl>
      <w:tblPr>
        <w:tblStyle w:val="Table"/>
        <w:tblW w:type="pct" w:w="5024"/>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57"/>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Trademark rights are a branch under intellectual property, a pillar under a pillar of the financial ark; specifically enjoyed through the act of registering individual commercial identifiers.</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defines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trademark rights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the rights enjoyed from registering commercial identifiers.</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It cross-references with Article 100 and Article 8 (Structurally Establishing a Company), indicating that trademarks are the foundation of brand assets.</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100, Article 103, Article 8.</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59"/>
    <w:bookmarkStart w:id="160" w:name="Xd34b8d9f87da55df39dad76307bd02f3587ad5b"/>
    <w:p>
      <w:pPr>
        <w:pStyle w:val="Heading3"/>
        <w:spacing w:after="120" w:line="312" w:lineRule="auto"/>
        <w:jc w:val="left"/>
      </w:pPr>
      <w:r>
        <w:rPr>
          <w:rFonts w:ascii="DejaVu Serif" w:hAnsi="DejaVu Serif" w:eastAsia="Noto Serif CJK SC"/>
          <w:color w:val="000000"/>
          <w:sz w:val="26"/>
        </w:rPr>
        <w:t xml:space="preserve">Article 103 【Patent Rights and Their Handling Principles】</w:t>
      </w:r>
    </w:p>
    <w:p>
      <w:pPr>
        <w:pStyle w:val="FirstParagraph"/>
        <w:spacing w:after="120" w:line="312" w:lineRule="auto"/>
      </w:pPr>
      <w:r>
        <w:rPr>
          <w:rFonts w:ascii="DejaVu Serif" w:hAnsi="DejaVu Serif" w:eastAsia="Noto Serif CJK SC"/>
          <w:color w:val="000000"/>
          <w:sz w:val="22"/>
        </w:rPr>
        <w:t xml:space="preserve">Patent rights are a branch under intellectual property, a pillar under a pillar of the financial ark; specifically enjoyed through the act of an individual creating unprecedented subject matter (technical processes, designs, etc.) and applying for and obtaining a patent in accordance with the law.</w:t>
      </w:r>
    </w:p>
    <w:tbl>
      <w:tblPr>
        <w:tblStyle w:val="Table"/>
        <w:tblW w:type="pct" w:w="5016"/>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5"/>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Patent rights are a branch under intellectual property, a pillar under a pillar of the financial ark; specifically enjoyed through the act of an individual creating unprecedented subject matter (technical processes, designs, etc.) and applying for and obtaining a patent in accordance with the law.</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defines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patent rights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the rights enjoyed from creating unprecedented subject matter and applying for a patent.</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It cross-references with Article 100 and Article 102, indicating that the three rights (copyright, trademark rights, patent rights) collectively constitute the IPR system.</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100, Article 102.</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60"/>
    <w:bookmarkStart w:id="161" w:name="X620ea2848ef0cc5020068bc6d3e3d7a84a97555"/>
    <w:p>
      <w:pPr>
        <w:pStyle w:val="Heading3"/>
        <w:spacing w:after="120" w:line="312" w:lineRule="auto"/>
        <w:jc w:val="left"/>
      </w:pPr>
      <w:r>
        <w:rPr>
          <w:rFonts w:ascii="DejaVu Serif" w:hAnsi="DejaVu Serif" w:eastAsia="Noto Serif CJK SC"/>
          <w:color w:val="000000"/>
          <w:sz w:val="26"/>
        </w:rPr>
        <w:t xml:space="preserve">Article 104 【Cognition Concerning Marriage and the Essence of Marriage】</w:t>
      </w:r>
    </w:p>
    <w:p>
      <w:pPr>
        <w:pStyle w:val="FirstParagraph"/>
        <w:spacing w:after="120" w:line="312" w:lineRule="auto"/>
      </w:pPr>
      <w:r>
        <w:rPr>
          <w:rFonts w:ascii="DejaVu Serif" w:hAnsi="DejaVu Serif" w:eastAsia="Noto Serif CJK SC"/>
          <w:color w:val="000000"/>
          <w:sz w:val="22"/>
        </w:rPr>
        <w:t xml:space="preserve">The essence of marriage is the integration and sharing of resources between one person and another, based on the reduction of transaction costs.</w:t>
      </w:r>
    </w:p>
    <w:tbl>
      <w:tblPr>
        <w:tblStyle w:val="Table"/>
        <w:tblW w:type="pct" w:w="5019"/>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9"/>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essence of marriage is the integration and sharing of resources between one person and another, based on the reduction of transaction costs.</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【Discussion】It is discussed that this Article interprets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marriage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from an essentialist perspective as a system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resource integration and joint ownership/use,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stripping away the romantic veneer to directly address its economic essence.</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Cross-reference with Articles 36, 37, and 105. To understand its essence, it is known that whether a marriage is concluded should be judged by whether it</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conforms to the fundamental interests and freedom of this life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36).</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36, Article 37, Article 105, Annex A.04.001.</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61"/>
    <w:bookmarkStart w:id="162" w:name="X10e46b13053b4c0b09938adae3aec68facb17b4"/>
    <w:p>
      <w:pPr>
        <w:pStyle w:val="Heading3"/>
        <w:spacing w:after="120" w:line="312" w:lineRule="auto"/>
        <w:jc w:val="left"/>
      </w:pPr>
      <w:r>
        <w:rPr>
          <w:rFonts w:ascii="DejaVu Serif" w:hAnsi="DejaVu Serif" w:eastAsia="Noto Serif CJK SC"/>
          <w:color w:val="000000"/>
          <w:sz w:val="26"/>
        </w:rPr>
        <w:t xml:space="preserve">Article 105 【Ranking of Values Concerning Aspiration and Kinship】</w:t>
      </w:r>
    </w:p>
    <w:p>
      <w:pPr>
        <w:pStyle w:val="FirstParagraph"/>
        <w:spacing w:after="120" w:line="312" w:lineRule="auto"/>
      </w:pPr>
      <w:r>
        <w:rPr>
          <w:rFonts w:ascii="DejaVu Serif" w:hAnsi="DejaVu Serif" w:eastAsia="Noto Serif CJK SC"/>
          <w:color w:val="000000"/>
          <w:sz w:val="22"/>
        </w:rPr>
        <w:t xml:space="preserve">I, in principle, affirm that shared aspiration outweighs operational capability, which in turn outweighs kinship.</w:t>
      </w:r>
    </w:p>
    <w:tbl>
      <w:tblPr>
        <w:tblStyle w:val="Table"/>
        <w:tblW w:type="pct" w:w="5015"/>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3"/>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 determine in principle that shared aspiration outweighs operational capability, which in turn outweighs kinship.</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【Discussion】It is hereby established that this Article establishes the ordering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Aspiration—Capability—Kinship</w:t>
            </w:r>
            <w:r>
              <w:rPr>
                <w:rFonts w:ascii="DejaVu Serif" w:hAnsi="DejaVu Serif" w:eastAsia="Noto Sans CJK SC"/>
                <w:color w:val="000000"/>
                <w:sz w:val="19"/>
              </w:rPr>
              <w:t xml:space="preserve">”</w:t>
            </w:r>
            <w:r>
              <w:rPr>
                <w:rFonts w:ascii="DejaVu Serif" w:hAnsi="DejaVu Serif" w:eastAsia="Noto Sans CJK SC"/>
                <w:color w:val="000000"/>
                <w:sz w:val="19"/>
              </w:rPr>
              <w:t xml:space="preserve">: Consistency of aspiration is of primary importance, followed by operational capability, and then kinship relations.</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【Discussion】It is stated herein: This ordering subverts the traditional concept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bloodline supremacy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 is to be cross-referenced with Article 44, 【Mindset Determines Life】, and Article 53. It serves as the value criterion for the selection of persons and inheritance (Article 106) by the Charter-Maker.</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106, Article 44, Article 121.</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62"/>
    <w:bookmarkStart w:id="163" w:name="X79a580049a29d5e501e747d0e6e770633541839"/>
    <w:p>
      <w:pPr>
        <w:pStyle w:val="Heading3"/>
        <w:spacing w:after="120" w:line="312" w:lineRule="auto"/>
        <w:jc w:val="left"/>
      </w:pPr>
      <w:r>
        <w:rPr>
          <w:rFonts w:ascii="DejaVu Serif" w:hAnsi="DejaVu Serif" w:eastAsia="Noto Serif CJK SC"/>
          <w:color w:val="000000"/>
          <w:sz w:val="26"/>
        </w:rPr>
        <w:t xml:space="preserve">Article 106 【On Wills, Bequests and the Disposal of Related Subject Matter】 the Author’s life estate and the property of the Financial Ark</w:t>
      </w:r>
    </w:p>
    <w:p>
      <w:pPr>
        <w:pStyle w:val="FirstParagraph"/>
        <w:spacing w:after="120" w:line="312" w:lineRule="auto"/>
      </w:pPr>
      <w:r>
        <w:rPr>
          <w:rFonts w:ascii="DejaVu Serif" w:hAnsi="DejaVu Serif" w:eastAsia="Noto Serif CJK SC"/>
          <w:color w:val="000000"/>
          <w:sz w:val="22"/>
        </w:rPr>
        <w:t xml:space="preserve">The order of objects for bequests is as follows:</w:t>
      </w:r>
    </w:p>
    <w:p>
      <w:pPr>
        <w:numPr>
          <w:ilvl w:val="0"/>
          <w:numId w:val="1023"/>
        </w:numPr>
        <w:spacing w:after="120" w:line="312" w:lineRule="auto"/>
      </w:pPr>
      <w:r>
        <w:rPr>
          <w:rFonts w:ascii="DejaVu Serif" w:hAnsi="DejaVu Serif" w:eastAsia="Noto Serif CJK SC"/>
          <w:color w:val="000000"/>
          <w:sz w:val="22"/>
        </w:rPr>
        <w:t xml:space="preserve">A spouse who shares the same aspirations as one’s own plan; (2) A spouse who, while not sharing the same aspirations as one’s own plan, can properly manage existing assets; (3) A son or daughter who shares the same aspirations as one’s own plan; (4) A son or daughter who, while not sharing the same aspirations as one’s own plan, can properly manage existing assets;</w:t>
      </w:r>
    </w:p>
    <w:p>
      <w:pPr>
        <w:numPr>
          <w:ilvl w:val="0"/>
          <w:numId w:val="1023"/>
        </w:numPr>
        <w:spacing w:after="120" w:line="312" w:lineRule="auto"/>
      </w:pPr>
      <w:r>
        <w:rPr>
          <w:rFonts w:ascii="DejaVu Serif" w:hAnsi="DejaVu Serif" w:eastAsia="Noto Serif CJK SC"/>
          <w:color w:val="000000"/>
          <w:sz w:val="22"/>
        </w:rPr>
        <w:t xml:space="preserve">Other members of the company’s shareholders’ assembly who share the same aspirations as my own plans; (6) Other members of the company’s shareholders’ assembly who, while not sharing the same aspirations as my own plans, are capable of properly managing the existing assets; (7) Other members of this company who share the same aspirations as my own plans (managers or employees, civil and commercial partners, civil and commercial cooperators, employees, civil and commercial partners, civil and commercial cooperators, employees); (8) Other members of this company who, while not sharing the same aspirations as my own plans, are capable of properly managing the existing assets; (9) External third parties of good faith who, while not sharing the same aspirations as my own plans, are capable of properly managing the existing assets; (10) External third parties of good faith who, while not sharing the same aspirations as my own plans, are capable of properly managing the existing assets; #This Article explicitly establishes the priority order for inheritance and bequests, with</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shared aspirations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asset management capability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the core criteria for determination, prioritizing the sustainability of core undertakings and assets, in alignment with this Charter’s principles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Long-termism</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7) 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Core Asset Creation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31) #</w:t>
      </w:r>
    </w:p>
    <w:tbl>
      <w:tblPr>
        <w:tblStyle w:val="Table"/>
        <w:tblW w:type="pct" w:w="5005"/>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7"/>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order of beneficiaries for my personal legacy and the assets of my financial ark shall be as follows: (1) my spouse who shares the same aspirations as my plans; (2) my spouse who does not share the same aspirations as my plans but can properly manage the existing assets; (3) my son or daughter who shares the same aspirations as my plans; (4) my son or daughter who does not share the same aspirations as my plans but can properly manage the existing assets; (5) other members of the company’s shareholders’ assembly who share the same aspirations as my plans; (6) other members of the company’s shareholders’ assembly who do not share the same aspirations as my plans but can properly manage the existing assets; (7) other members of this company (managers or civil/commercial partners, civil/commercial cooperators, employees, etc.) who share the same aspirations as my plans; (8) other members of this company who do not share the same aspirations as my plans but can properly manage the existing assets. (The full text shall be taken as the authentic text).</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【Discussion】It is stated herein: This Article establishes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Order of Beneficiaries for Bequests and Inheritance</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—prioritizing</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alignment of aspiration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over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managerial capability,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with kinship and colleagues integrated into a single ranking.</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【Discussion】It is stated herein: This provision prioritizes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alignment of aspirations,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which is consistent with Article 145 【Alignment of Aspirations Supersedes Kinship】, and embodies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Concept of Transmission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this life. All historical references to terms such as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employee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manager</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shall be construed in accordance with the terminology explicitly defined in the Charter.</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105, Article 41, Article 122.</w:t>
            </w:r>
          </w:p>
        </w:tc>
      </w:tr>
    </w:tbl>
    <w:bookmarkEnd w:id="163"/>
    <w:bookmarkEnd w:id="164"/>
    <w:bookmarkStart w:id="178" w:name="Xb6c62eaf39240a365268e98b56371f39f5d4771"/>
    <w:p>
      <w:pPr>
        <w:pStyle w:val="Heading2"/>
        <w:spacing w:after="160" w:line="312" w:lineRule="auto"/>
        <w:jc w:val="left"/>
      </w:pPr>
      <w:r>
        <w:rPr>
          <w:rFonts w:ascii="DejaVu Serif" w:hAnsi="DejaVu Serif" w:eastAsia="Noto Serif CJK SC"/>
          <w:color w:val="000000"/>
          <w:sz w:val="30"/>
        </w:rPr>
        <w:t xml:space="preserve">Volume XI Chapter on Growth and Iteration</w:t>
      </w:r>
    </w:p>
    <w:p>
      <w:pPr>
        <w:spacing w:after="120" w:line="312" w:lineRule="auto"/>
      </w:pPr>
      <w:r>
        <w:rPr>
          <w:rFonts w:ascii="DejaVu Serif" w:hAnsi="DejaVu Serif" w:eastAsia="Noto Serif CJK SC"/>
          <w:color w:val="000000"/>
          <w:sz w:val="22"/>
        </w:rPr>
        <w:pict>
          <v:rect style="width:0;height:1.5pt" o:hralign="center" o:hrstd="t" o:hr="t"/>
        </w:pict>
      </w:r>
    </w:p>
    <w:bookmarkStart w:id="165" w:name="X64a10bbb91cde554cdd8b772cb9227819c1ac2d"/>
    <w:p>
      <w:pPr>
        <w:pStyle w:val="Heading3"/>
        <w:spacing w:after="120" w:line="312" w:lineRule="auto"/>
        <w:jc w:val="left"/>
      </w:pPr>
      <w:r>
        <w:rPr>
          <w:rFonts w:ascii="DejaVu Serif" w:hAnsi="DejaVu Serif" w:eastAsia="Noto Serif CJK SC"/>
          <w:color w:val="000000"/>
          <w:sz w:val="26"/>
        </w:rPr>
        <w:t xml:space="preserve">Article 107 【Smooth Career-Industry Leaps, Part One】</w:t>
      </w:r>
    </w:p>
    <w:p>
      <w:pPr>
        <w:pStyle w:val="FirstParagraph"/>
        <w:spacing w:after="120" w:line="312" w:lineRule="auto"/>
      </w:pPr>
      <w:r>
        <w:rPr>
          <w:rFonts w:ascii="DejaVu Serif" w:hAnsi="DejaVu Serif" w:eastAsia="Noto Serif CJK SC"/>
          <w:color w:val="000000"/>
          <w:sz w:val="22"/>
        </w:rPr>
        <w:t xml:space="preserve">After personally accomplishing a task, establish a company. Specific industries may refer to the following paths and be adjusted according to one’s own conditions: Consulting / Communications / Media – Project Planning – Agency Operations – Technology Industry – Leasing Industry – Financial Investment Industry (Individual Investor – Investment Company – Private Equity Fund and its Consulting) #This Article provides a phased path for industry transition, connecting to the strategic planning in Article 8,</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Direction of Life Progression,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Professional Services → Investment Company → Private Equity Fund,</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ensuring the coherence of industry transformation #</w:t>
      </w:r>
    </w:p>
    <w:tbl>
      <w:tblPr>
        <w:tblStyle w:val="Table"/>
        <w:tblW w:type="pct" w:w="5013"/>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0"/>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After personally accomplishing a matter, establish a company. Specific industries may refer to the following paths and be adjusted according to one’s own conditions: Consulting/Communication/Media → Project Planning → Agency Operations → Technology → Leasing → Financial Investment (Individual Investor → Investment Company → Private Equity Fund and its Consulting).</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【Discussion】This Article establishes the path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industry jumping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—accomplish one matter, establish one company, with industries progressing along</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Consulting → Planning → Agency → Technology → Leasing → Financial Investment.</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【Discussion】To be cross-referenced with Article 8-2 【Directional Order】, Article 8, and Article 59, it demonstrates the method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achieving life advancement through career progression.</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8, Article 8-2, Article 59.</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65"/>
    <w:bookmarkStart w:id="166" w:name="article-108-bug-discovery-and-iteration"/>
    <w:p>
      <w:pPr>
        <w:pStyle w:val="Heading3"/>
        <w:spacing w:after="120" w:line="312" w:lineRule="auto"/>
        <w:jc w:val="left"/>
      </w:pPr>
      <w:r>
        <w:rPr>
          <w:rFonts w:ascii="DejaVu Serif" w:hAnsi="DejaVu Serif" w:eastAsia="Noto Serif CJK SC"/>
          <w:color w:val="000000"/>
          <w:sz w:val="26"/>
        </w:rPr>
        <w:t xml:space="preserve">Article 108 【Bug Discovery and Iteration】</w:t>
      </w:r>
    </w:p>
    <w:p>
      <w:pPr>
        <w:pStyle w:val="FirstParagraph"/>
        <w:spacing w:after="120" w:line="312" w:lineRule="auto"/>
      </w:pPr>
      <w:r>
        <w:rPr>
          <w:rFonts w:ascii="DejaVu Serif" w:hAnsi="DejaVu Serif" w:eastAsia="Noto Serif CJK SC"/>
          <w:color w:val="000000"/>
          <w:sz w:val="22"/>
        </w:rPr>
        <w:t xml:space="preserve">The true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level-up</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life stems from shifting one’s attention from manipulating or controlling others to self-exploration, self-discovery, self-management, self-reflection, and self-iteration. Only by constantly changing and correcting oneself can one continuously approach one’s ideal blueprint.</w:t>
      </w:r>
    </w:p>
    <w:tbl>
      <w:tblPr>
        <w:tblStyle w:val="Table"/>
        <w:tblW w:type="pct" w:w="5016"/>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5"/>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true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level-up</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life stems from shifting one’s attention from manipulating or controlling others to self-exploration, self-discovery, self-management, self-reflection, and self-iteration. Only by constantly changing and correcting oneself can one continuously approach one’s ideal blueprint.</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【Discussion】This Article establishes the growth perspective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self-iteration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—true breakthroughs lie in inward self-examination and self-iteration.</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【Discussion】To be cross-referenced with Article 6</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Dare to Correct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Article 109 【Growth Mindset】, and Article 119 【Review】.</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6, Article 109, Article 119.</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66"/>
    <w:bookmarkStart w:id="167" w:name="article-109-a-growth-mindset"/>
    <w:p>
      <w:pPr>
        <w:pStyle w:val="Heading3"/>
        <w:spacing w:after="120" w:line="312" w:lineRule="auto"/>
        <w:jc w:val="left"/>
      </w:pPr>
      <w:r>
        <w:rPr>
          <w:rFonts w:ascii="DejaVu Serif" w:hAnsi="DejaVu Serif" w:eastAsia="Noto Serif CJK SC"/>
          <w:color w:val="000000"/>
          <w:sz w:val="26"/>
        </w:rPr>
        <w:t xml:space="preserve">Article 109 【A Growth Mindset】</w:t>
      </w:r>
    </w:p>
    <w:p>
      <w:pPr>
        <w:pStyle w:val="FirstParagraph"/>
        <w:spacing w:after="120" w:line="312" w:lineRule="auto"/>
      </w:pPr>
      <w:r>
        <w:rPr>
          <w:rFonts w:ascii="DejaVu Serif" w:hAnsi="DejaVu Serif" w:eastAsia="Noto Serif CJK SC"/>
          <w:color w:val="000000"/>
          <w:sz w:val="22"/>
        </w:rPr>
        <w:t xml:space="preserve">Oneself and others can always be better, but one can never need not pursue absolute best (extreme perfectionism, absolute 100-point thinking), and must always iterate, a way of thinking and mentality that involves tearing down and reconstructing one’s own thinking and behavioral patterns.</w:t>
      </w:r>
    </w:p>
    <w:tbl>
      <w:tblPr>
        <w:tblStyle w:val="Table"/>
        <w:tblW w:type="pct" w:w="5016"/>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5"/>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Oneself and others can always be better, but one can never need not pursue absolute best (extreme perfectionism, absolute 100-point thinking), and must always iterate, a way of thinking and mentality that involves tearing down and reconstructing one’s own thinking and behavioral patterns.</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growth mindset</w:t>
            </w:r>
            <w:r>
              <w:rPr>
                <w:rFonts w:ascii="DejaVu Serif" w:hAnsi="DejaVu Serif" w:eastAsia="Noto Sans CJK SC"/>
                <w:color w:val="000000"/>
                <w:sz w:val="19"/>
              </w:rPr>
              <w:t xml:space="preserve">”</w:t>
            </w:r>
            <w:r>
              <w:rPr>
                <w:rFonts w:ascii="DejaVu Serif" w:hAnsi="DejaVu Serif" w:eastAsia="Noto Sans CJK SC"/>
                <w:color w:val="000000"/>
                <w:sz w:val="19"/>
              </w:rPr>
              <w:t xml:space="preserve">—always capable of being better, always iterating, not pursuing absolute perfection.</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【Discussion】To be cross-referenced with Article 108 and Article 67, it serves as the psychological foundation for this life’s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continuous evolution.</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108, Article 67, Article 70.</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67"/>
    <w:bookmarkStart w:id="168" w:name="Xd517d7e56812fdf7ccdce2a12a2d698f06c0780"/>
    <w:p>
      <w:pPr>
        <w:pStyle w:val="Heading3"/>
        <w:spacing w:after="120" w:line="312" w:lineRule="auto"/>
        <w:jc w:val="left"/>
      </w:pPr>
      <w:r>
        <w:rPr>
          <w:rFonts w:ascii="DejaVu Serif" w:hAnsi="DejaVu Serif" w:eastAsia="Noto Serif CJK SC"/>
          <w:color w:val="000000"/>
          <w:sz w:val="26"/>
        </w:rPr>
        <w:t xml:space="preserve">Article 110 【A System of Withdrawal from Compliance with Moral Views One Does Not Endorse】</w:t>
      </w:r>
    </w:p>
    <w:p>
      <w:pPr>
        <w:pStyle w:val="FirstParagraph"/>
        <w:spacing w:after="120" w:line="312" w:lineRule="auto"/>
      </w:pPr>
      <w:r>
        <w:rPr>
          <w:rFonts w:ascii="DejaVu Serif" w:hAnsi="DejaVu Serif" w:eastAsia="Noto Serif CJK SC"/>
          <w:color w:val="000000"/>
          <w:sz w:val="22"/>
        </w:rPr>
        <w:t xml:space="preserve">At any time, for concepts recognized by the public but which one genuinely does not endorse, I have the right to choose to exit the relevant activities and groups at any time.</w:t>
      </w:r>
    </w:p>
    <w:tbl>
      <w:tblPr>
        <w:tblStyle w:val="Table"/>
        <w:tblW w:type="pct" w:w="5022"/>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54"/>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At any time, for concepts recognized by the public but which one genuinely does not endorse, I have the right to choose to exit the relevant activities and groups at any time.</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right to exit</w:t>
            </w:r>
            <w:r>
              <w:rPr>
                <w:rFonts w:ascii="DejaVu Serif" w:hAnsi="DejaVu Serif" w:eastAsia="Noto Sans CJK SC"/>
                <w:color w:val="000000"/>
                <w:sz w:val="19"/>
              </w:rPr>
              <w:t xml:space="preserve">”</w:t>
            </w:r>
            <w:r>
              <w:rPr>
                <w:rFonts w:ascii="DejaVu Serif" w:hAnsi="DejaVu Serif" w:eastAsia="Noto Sans CJK SC"/>
                <w:color w:val="000000"/>
                <w:sz w:val="19"/>
              </w:rPr>
              <w:t xml:space="preserve">—anything inconsistent with my personal views can be exited from at any time.</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【Discussion】To be cross-referenced with Article 33 【Maximum Right of Self-Determination】, Article 115 【Independence】, and Article 110, it provides the method for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autonomous choice, free from coercion.</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33, Article 115.</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68"/>
    <w:bookmarkStart w:id="169" w:name="Xbc550d111a4d8de67eef11021b8e1a463d830a8"/>
    <w:p>
      <w:pPr>
        <w:pStyle w:val="Heading3"/>
        <w:spacing w:after="120" w:line="312" w:lineRule="auto"/>
        <w:jc w:val="left"/>
      </w:pPr>
      <w:r>
        <w:rPr>
          <w:rFonts w:ascii="DejaVu Serif" w:hAnsi="DejaVu Serif" w:eastAsia="Noto Serif CJK SC"/>
          <w:color w:val="000000"/>
          <w:sz w:val="26"/>
        </w:rPr>
        <w:t xml:space="preserve">Article 111 【The Essential Logic of Maximizing Altruism】</w:t>
      </w:r>
    </w:p>
    <w:p>
      <w:pPr>
        <w:pStyle w:val="FirstParagraph"/>
        <w:spacing w:after="120" w:line="312" w:lineRule="auto"/>
      </w:pPr>
      <w:r>
        <w:rPr>
          <w:rFonts w:ascii="DejaVu Serif" w:hAnsi="DejaVu Serif" w:eastAsia="Noto Serif CJK SC"/>
          <w:color w:val="000000"/>
          <w:sz w:val="22"/>
        </w:rPr>
        <w:t xml:space="preserve">The essential logic of maximally altruistic behavior is through the design of certain systems, mechanisms, and processes, enabling all parties involved (each person) to have a sense of participation, gain, playfulness, joy, achievement, and dream fulfillment, ultimately allowing them to maximally realize their reasonable dreams within the designed process.</w:t>
      </w:r>
    </w:p>
    <w:tbl>
      <w:tblPr>
        <w:tblStyle w:val="Table"/>
        <w:tblW w:type="pct" w:w="5013"/>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1"/>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essential logic of maximally altruistic behavior is through the design of certain systems, mechanisms, and processes, enabling all parties involved (each person) to have a sense of participation, gain, playfulness, joy, achievement, and dream fulfillment, ultimately allowing them to maximally realize their reasonable dreams within the designed process.</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【Discussion】This Article establishes the essence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maximally altruistic behavior</w:t>
            </w:r>
            <w:r>
              <w:rPr>
                <w:rFonts w:ascii="DejaVu Serif" w:hAnsi="DejaVu Serif" w:eastAsia="Noto Sans CJK SC"/>
                <w:color w:val="000000"/>
                <w:sz w:val="19"/>
              </w:rPr>
              <w:t xml:space="preserve">”</w:t>
            </w:r>
            <w:r>
              <w:rPr>
                <w:rFonts w:ascii="DejaVu Serif" w:hAnsi="DejaVu Serif" w:eastAsia="Noto Sans CJK SC"/>
                <w:color w:val="000000"/>
                <w:sz w:val="19"/>
              </w:rPr>
              <w:t xml:space="preserve">—using system design to ensure all parties possess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six feelings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 have their dreams fulfilled.</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six feelings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(participation, gain, playfulness, joy, achievement, dream fulfillment) are the standards for this life’s design of systems and organizations, to be cross-referenced with Articles 72 and 73.</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72, Article 73, Article 56.</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69"/>
    <w:bookmarkStart w:id="170" w:name="Xd5cf8ad487cab3c9d2b492b48e12e0e9b92c202"/>
    <w:p>
      <w:pPr>
        <w:pStyle w:val="Heading3"/>
        <w:spacing w:after="120" w:line="312" w:lineRule="auto"/>
        <w:jc w:val="left"/>
      </w:pPr>
      <w:r>
        <w:rPr>
          <w:rFonts w:ascii="DejaVu Serif" w:hAnsi="DejaVu Serif" w:eastAsia="Noto Serif CJK SC"/>
          <w:color w:val="000000"/>
          <w:sz w:val="26"/>
        </w:rPr>
        <w:t xml:space="preserve">Article 112 【The Principle of Prioritizing Praise of Others on the Premise of Inner Objective Dialectical Neutralism】</w:t>
      </w:r>
    </w:p>
    <w:p>
      <w:pPr>
        <w:pStyle w:val="FirstParagraph"/>
        <w:spacing w:after="120" w:line="312" w:lineRule="auto"/>
      </w:pPr>
      <w:r>
        <w:rPr>
          <w:rFonts w:ascii="DejaVu Serif" w:hAnsi="DejaVu Serif" w:eastAsia="Noto Serif CJK SC"/>
          <w:color w:val="000000"/>
          <w:sz w:val="22"/>
        </w:rPr>
        <w:t xml:space="preserve">I adhere to the principle of prioritizing praise for others under the premise of internal objective dialectical neutrality, that is, in most cases, there is no need to point out others’ mistakes or argue with people from different circles about differences in values, but only to retain my own opinions, while maintaining a priority of praise for others, unless one of the following situations applies: (1) The relevant person is a paying client who pays me for consultation on a specific matter, and the specific matter in question is the same as the matter for which it is necessary to point out others’ mistakes or to argue about differences in values; (2) If failing to point out the mistakes of the relevant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other person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or to argue about differences in values in a specific matter may lead to the impairment of my core interests, including but not limited to the following matters: Item 1. The relevant person is my core shareholder, partner, or senior executive; Item 2. The relevant person is my core backbone employee, civil and commercial partner, civil and commercial collaborator, employee, civil and commercial partner, civil and commercial collaborator, employee; #This clause balances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neutral dialectics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with</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interest protection,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maintaining interpersonal harmony while preventing damage to core interests, connecting to the principle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all things are equal exchange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35) of this Charter#</w:t>
      </w:r>
    </w:p>
    <w:tbl>
      <w:tblPr>
        <w:tblStyle w:val="Table"/>
        <w:tblW w:type="pct" w:w="5005"/>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8"/>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 adhere to the principle of prioritizing praise for others under the premise of internal objective dialectical neutrality, that is, in most cases, there is no need to point out others’ mistakes or argue with people from different circles about differences in values, but only to retain my own opinions, while maintaining a priority of praise for others, unless one of the following situations applies: (1) The relevant person is a paying client who pays me for consultation on a specific matter, and the specific matter in question is the same as the matter for which it is necessary to point out others’ mistakes or to argue about differences in values; (2) If failing to point out the mistakes of the relevant</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other person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or to argue about differences in values in a specific matter may lead to the impairment of my core interests… (The full text shall be taken as the authentic text).</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establishes the principle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praise priority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—maintaining internal objectivity and neutrality, prioritizing praise for others, and not easily pointing out mistakes or arguing; except for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consultation matters of paying clients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matters involving my core interests.</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is my method of interaction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harmony in diversity,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connected to Article 33 【No arguing, only giving suggestions】 and Article 118 【Equal respect】.</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33, Article 35, Article 118.</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70"/>
    <w:bookmarkStart w:id="171" w:name="X5f529485773c2184da6d194140f107a562487a2"/>
    <w:p>
      <w:pPr>
        <w:pStyle w:val="Heading3"/>
        <w:spacing w:after="120" w:line="312" w:lineRule="auto"/>
        <w:jc w:val="left"/>
      </w:pPr>
      <w:r>
        <w:rPr>
          <w:rFonts w:ascii="DejaVu Serif" w:hAnsi="DejaVu Serif" w:eastAsia="Noto Serif CJK SC"/>
          <w:color w:val="000000"/>
          <w:sz w:val="26"/>
        </w:rPr>
        <w:t xml:space="preserve">Article 113 【The Principle of Acting from a Willing Heart】</w:t>
      </w:r>
    </w:p>
    <w:p>
      <w:pPr>
        <w:pStyle w:val="FirstParagraph"/>
        <w:spacing w:after="120" w:line="312" w:lineRule="auto"/>
      </w:pPr>
      <w:r>
        <w:rPr>
          <w:rFonts w:ascii="DejaVu Serif" w:hAnsi="DejaVu Serif" w:eastAsia="Noto Serif CJK SC"/>
          <w:color w:val="000000"/>
          <w:sz w:val="22"/>
        </w:rPr>
        <w:t xml:space="preserve">For any action I take at any time, as long as it is implemented, I shall ensure that the action is based on the willingness of the subjective (internal perspective). If not based on subjective willingness, or not adjusted to a state of willingness, I shall not take any action in principle. However, one of the following situations shall be an exception: (1) My own life or right to survival faces substantial and realistic threats, necessitating immediate special action; (2) My own personal freedom, psychological freedom, freedom of thought, or right to autonomous decision-making faces substantial and realistic threats, necessitating immediate special action; (3) Based on a strict agreement from a real, fully autonomous, non-instinctive oral, written, or data electronic transmission agreement.</w:t>
      </w:r>
    </w:p>
    <w:tbl>
      <w:tblPr>
        <w:tblStyle w:val="Table"/>
        <w:tblW w:type="pct" w:w="5006"/>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9"/>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For any action I take at any time, as long as it is implemented, I shall ensure that the action is based on the willingness of the subjective (internal perspective). If not based on subjective willingness, or not adjusted to a state of willingness, I shall not take any action in principle. However, one of the following situations shall be an exception: (1) My own life or right to survival faces substantial and realistic threats, necessitating immediate special action; (2) My own personal freedom, psychological freedom, freedom of thought, or right to autonomous decision-making faces substantial and realistic threats, necessitating immediate special action; (3) Based on a strict agreement from a real, fully autonomous, non-instinctive oral, written, or data electronic transmission agreement.</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establishes the principle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willing heart</w:t>
            </w:r>
            <w:r>
              <w:rPr>
                <w:rFonts w:ascii="DejaVu Serif" w:hAnsi="DejaVu Serif" w:eastAsia="Noto Sans CJK SC"/>
                <w:color w:val="000000"/>
                <w:sz w:val="19"/>
              </w:rPr>
              <w:t xml:space="preserve">”</w:t>
            </w:r>
            <w:r>
              <w:rPr>
                <w:rFonts w:ascii="DejaVu Serif" w:hAnsi="DejaVu Serif" w:eastAsia="Noto Sans CJK SC"/>
                <w:color w:val="000000"/>
                <w:sz w:val="19"/>
              </w:rPr>
              <w:t xml:space="preserve">—actions must be based on subjective willingness; if unwilling, then do not act (except in emergencies and under strict agreements).</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is the third method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self-determination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(preceded by Article 26 and Article 33), showing my life posture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using the heart’s desire as the standard for action.</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26, Article 33, Article 34.</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71"/>
    <w:bookmarkStart w:id="172" w:name="X048b48dd8aee0e1d410861d87659d503d6b4511"/>
    <w:p>
      <w:pPr>
        <w:pStyle w:val="Heading3"/>
        <w:spacing w:after="120" w:line="312" w:lineRule="auto"/>
        <w:jc w:val="left"/>
      </w:pPr>
      <w:r>
        <w:rPr>
          <w:rFonts w:ascii="DejaVu Serif" w:hAnsi="DejaVu Serif" w:eastAsia="Noto Serif CJK SC"/>
          <w:color w:val="000000"/>
          <w:sz w:val="26"/>
        </w:rPr>
        <w:t xml:space="preserve">Article 114 【The Principle of Payment-Based Screening】</w:t>
      </w:r>
    </w:p>
    <w:p>
      <w:pPr>
        <w:pStyle w:val="FirstParagraph"/>
        <w:spacing w:after="120" w:line="312" w:lineRule="auto"/>
      </w:pPr>
      <w:r>
        <w:rPr>
          <w:rFonts w:ascii="DejaVu Serif" w:hAnsi="DejaVu Serif" w:eastAsia="Noto Serif CJK SC"/>
          <w:color w:val="000000"/>
          <w:sz w:val="22"/>
        </w:rPr>
        <w:t xml:space="preserve">When others seek help or solutions from me, they shall generally be required to pay, with the following subsequent effects: (1) Screening out those who recognize the need to pay and concentrating services on them helps to protect myself from unnecessary threats (including but not limited to threats to person, life, health, etc.); (2) Screening out those who recognize the need to pay and concentrating services on them helps to find people of similar frequency; (3) Screening out those who recognize the need to pay and concentrating services on them helps to coordinate the allocation of my own energy, time, etc.; (4) Screening out those who recognize the need to pay and concentrating services on them helps to ensure that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those who do not pay will not receive my services, gradually increasing the monetary value of my own intangible resources such as time, energy, attention, etc.</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(5) Screening out those who recognize the need to pay and concentrating services on them helps to eliminate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freeloaders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barnacle-type consumers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etc., to screen for high-quality clients, which helps to improve the efficiency of my life’s money-making, while simultaneously optimizing and transforming the people around me who interact closely with me, indirectly optimizing the quality of my own life. #This clause optimizes resource allocation through</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payment screening</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aligning with this Charter’s principle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focusing on the most core actions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27) 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client positioning for high-quality populations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85), improving the return on investment of time and energy #</w:t>
      </w:r>
    </w:p>
    <w:tbl>
      <w:tblPr>
        <w:tblStyle w:val="Table"/>
        <w:tblW w:type="pct" w:w="5006"/>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9"/>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When others seek help or solutions from me, they shall generally be required to pay, with the following subsequent effects: (1) Screening out those who recognize the need to pay and concentrating services on them helps to protect myself from unnecessary threats (including threats to person, life, health, etc.); (2) Helps to find people of similar frequency; (3) Helps to coordinate the allocation of my own energy, time, etc.; (4) Helps to ensure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those who do not pay will not receive my services, gradually increasing the monetary value of my own intangible resources such as time, energy, attention, etc.</w:t>
            </w:r>
            <w:r>
              <w:rPr>
                <w:rFonts w:ascii="DejaVu Serif" w:hAnsi="DejaVu Serif" w:eastAsia="Noto Sans CJK SC"/>
                <w:color w:val="000000"/>
                <w:sz w:val="19"/>
              </w:rPr>
              <w:t xml:space="preserve">”</w:t>
            </w:r>
            <w:r>
              <w:rPr>
                <w:rFonts w:ascii="DejaVu Serif" w:hAnsi="DejaVu Serif" w:eastAsia="Noto Sans CJK SC"/>
                <w:color w:val="000000"/>
                <w:sz w:val="19"/>
              </w:rPr>
              <w:t xml:space="preserve">; (5) Helps to eliminate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freeloaders</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barnacle-type consumers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etc., to screen for high-quality clients, which helps to improve the efficiency of my life’s money-making… (The full text shall be taken as the authentic text).</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establishes the principle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payment screening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—helping others must generally require payment, in order to screen for quality and protect oneself.</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To be cross-referenced with Article 84 【Invited Service】, Article 85 【Client Positioning】, and Article 116, this constitutes my method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protecting myself through value exchange.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84, Article 85, Article 116.</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72"/>
    <w:bookmarkStart w:id="173" w:name="X52d29f5915f85ecf4171c3ba06ada3c7ed269a5"/>
    <w:p>
      <w:pPr>
        <w:pStyle w:val="Heading3"/>
        <w:spacing w:after="120" w:line="312" w:lineRule="auto"/>
        <w:jc w:val="left"/>
      </w:pPr>
      <w:r>
        <w:rPr>
          <w:rFonts w:ascii="DejaVu Serif" w:hAnsi="DejaVu Serif" w:eastAsia="Noto Serif CJK SC"/>
          <w:color w:val="000000"/>
          <w:sz w:val="26"/>
        </w:rPr>
        <w:t xml:space="preserve">Article 115 【The Principles of Independence and Individualization in Ways of Thinking and Living】</w:t>
      </w:r>
    </w:p>
    <w:p>
      <w:pPr>
        <w:pStyle w:val="FirstParagraph"/>
        <w:spacing w:after="120" w:line="312" w:lineRule="auto"/>
      </w:pPr>
      <w:r>
        <w:rPr>
          <w:rFonts w:ascii="DejaVu Serif" w:hAnsi="DejaVu Serif" w:eastAsia="Noto Serif CJK SC"/>
          <w:color w:val="000000"/>
          <w:sz w:val="22"/>
        </w:rPr>
        <w:t xml:space="preserve">Ordinary person = Average person = Most people; therefore, if I intend to live a life that ordinary people (average people) cannot live their entire lives, I must do things that are different from ordinary people (most people); at the same time, I must find my ideal object of imitation, first study their way of thinking, then study their behavioral patterns, and ultimately make my own thinking patterns, action patterns, business models, and lifestyle become something that most people cannot imagine, ultimately living my personalized ideal life.</w:t>
      </w:r>
    </w:p>
    <w:tbl>
      <w:tblPr>
        <w:tblStyle w:val="Table"/>
        <w:tblW w:type="pct" w:w="5009"/>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3"/>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Ordinary person = Average person = Most people; therefore, if I intend to live a life that ordinary people (average people) cannot live their entire lives, I must do things that are different from ordinary people (most people); at the same time, I must find my ideal object of imitation, first study their way of thinking, then study their behavioral patterns, and ultimately make my own thinking patterns, action patterns, business models, and lifestyle become something that most people cannot imagine, ultimately living my personalized ideal life.</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establishes the principle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Independence and Personalization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—to live an extraordinary life, one must do extraordinary things; first learn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thinking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the ideal object, then learn their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behavior.</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emphasizes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thinking before behavior,</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to be cross-referenced with Article 44 【Thinking Pattern Determines Life】 and Article 109 【Growth Mindset】.</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44, Article 109, Article 43.</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73"/>
    <w:bookmarkStart w:id="174" w:name="X841ea32552f45091d18e2e331cc57883a39a096"/>
    <w:p>
      <w:pPr>
        <w:pStyle w:val="Heading3"/>
        <w:spacing w:after="120" w:line="312" w:lineRule="auto"/>
        <w:jc w:val="left"/>
      </w:pPr>
      <w:r>
        <w:rPr>
          <w:rFonts w:ascii="DejaVu Serif" w:hAnsi="DejaVu Serif" w:eastAsia="Noto Serif CJK SC"/>
          <w:color w:val="000000"/>
          <w:sz w:val="26"/>
        </w:rPr>
        <w:t xml:space="preserve">Article 116 【The Minimum Necessary Evaluation Dimensions for Client Screening】</w:t>
      </w:r>
    </w:p>
    <w:p>
      <w:pPr>
        <w:pStyle w:val="FirstParagraph"/>
        <w:spacing w:after="120" w:line="312" w:lineRule="auto"/>
      </w:pPr>
      <w:r>
        <w:rPr>
          <w:rFonts w:ascii="DejaVu Serif" w:hAnsi="DejaVu Serif" w:eastAsia="Noto Serif CJK SC"/>
          <w:color w:val="000000"/>
          <w:sz w:val="22"/>
        </w:rPr>
        <w:t xml:space="preserve">To ensure client quality, the minimum necessary dimensions for client screening are summarized as follows: (1) The degree of stable love for maintaining the ideal state achieved by my service; (2) The clarity of the client’s own purpose; (3) The client’s own payment ability (in the early stages of entrepreneurship, the review of client payment ability should be relaxed, and as the startup’s own cash flow scale increases, standards and requirements should be continuously raised); (4) The client’s own willingness to pay; (5) The intensity of the client’s motivation and action to change the current situation; #This clause clarifies the core dimensions of client screening, balancing</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early-stage entrepreneurial flexibility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with</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later-stage quality control,</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connecting to this Charter’s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Invited Service Provision Principles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84), and avoiding resource waste #</w:t>
      </w:r>
    </w:p>
    <w:tbl>
      <w:tblPr>
        <w:tblStyle w:val="Table"/>
        <w:tblW w:type="pct" w:w="5009"/>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4"/>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To ensure client quality, the minimum necessary criteria for client screening are summarized as follows: (1) The stable degree of love and passion for maintaining the ideal state achieved by this service; (2) The client’s own clarity of purpose; (3) The client’s own ability to pay (should be relaxed at the beginning of the venture, with standards continuously raised as cash flow increases); (4) The client’s own willingness to pay; (5) The client’s own motivation intensity and action intensity for changing the current situation.</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Five Dimensions of Client Screening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stability of love, clarity of purpose, ability to pay, willingness to pay, and intensity of change motivation.</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To be cross-referenced with Articles 85 and 114, this is my method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selecting clients based on standards.</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Articles 85, 114.</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74"/>
    <w:bookmarkStart w:id="175" w:name="X42e844793a94d76a4a0eedcc54090689f5bc9b4"/>
    <w:p>
      <w:pPr>
        <w:pStyle w:val="Heading3"/>
        <w:spacing w:after="120" w:line="312" w:lineRule="auto"/>
        <w:jc w:val="left"/>
      </w:pPr>
      <w:r>
        <w:rPr>
          <w:rFonts w:ascii="DejaVu Serif" w:hAnsi="DejaVu Serif" w:eastAsia="Noto Serif CJK SC"/>
          <w:color w:val="000000"/>
          <w:sz w:val="26"/>
        </w:rPr>
        <w:t xml:space="preserve">Article 117 【General Rules of Approach for Interpersonal Communication】</w:t>
      </w:r>
    </w:p>
    <w:p>
      <w:pPr>
        <w:pStyle w:val="FirstParagraph"/>
        <w:spacing w:after="120" w:line="312" w:lineRule="auto"/>
      </w:pPr>
      <w:r>
        <w:rPr>
          <w:rFonts w:ascii="DejaVu Serif" w:hAnsi="DejaVu Serif" w:eastAsia="Noto Serif CJK SC"/>
          <w:color w:val="000000"/>
          <w:sz w:val="22"/>
        </w:rPr>
        <w:t xml:space="preserve">In all communication, one should, in principle, begin with the most macro-level consensus, gratitude, and praise. First, present abstract and macro-level statements (conceptual or principial language, or industry terminology) regarding the topic, people, finances, materials, and events (start and end times, involved spatial locations), and then gradually concretize. In the exchange, distinguish between topics and modules, progressively refining and specifying (using metaphors or telling stories). Adhere to the integrated advancement of momentum, principle, method, technique, tool, mindset (attitude — the motivation and psychological state of the person when acting), action, and result. Maintain a logical approach that necessarily mixes abstract and concrete thinking. At the same time, insist on making audio and written records, adhering to the principle of combining communication with recording.</w:t>
      </w:r>
    </w:p>
    <w:tbl>
      <w:tblPr>
        <w:tblStyle w:val="Table"/>
        <w:tblW w:type="pct" w:w="5006"/>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9"/>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all communication, one should, in principle, begin with the most macro-level consensus, gratitude, and praise. First, present abstract and macro-level statements (conceptual or principial language, or industry terminology) regarding the topic, people, finances, materials, and events (start and end times, involved spatial locations), and then gradually concretize. In the exchange, distinguish between topics and modules, progressively refining and specifying (using metaphors or telling stories). Adhere to the integrated advancement of momentum, principle, method, technique, tool, mindset (attitude), action, and result. Maintain a logical approach that necessarily mixes abstract and concrete thinking. At the same time, insist on making audio and written records, adhering to the principle of combining communication with recording.</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General Principles of Interpersonal Communication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from macro to concrete, from consensus to details, employing the integrated method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momentum-principle-method-technique-tool-mindset-action-result,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while emphasizing the importance of recording.</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presents my methodology of communication, to be cross-referenced with Article 35 【Equal Exchange】 and Article 32 【Starting from the Human Perspective】.</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Articles 32, 35, 43.</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75"/>
    <w:bookmarkStart w:id="176" w:name="Xc41aefbf68be0887880cdca93a43db85ed52ca9"/>
    <w:p>
      <w:pPr>
        <w:pStyle w:val="Heading3"/>
        <w:spacing w:after="120" w:line="312" w:lineRule="auto"/>
        <w:jc w:val="left"/>
      </w:pPr>
      <w:r>
        <w:rPr>
          <w:rFonts w:ascii="DejaVu Serif" w:hAnsi="DejaVu Serif" w:eastAsia="Noto Serif CJK SC"/>
          <w:color w:val="000000"/>
          <w:sz w:val="26"/>
        </w:rPr>
        <w:t xml:space="preserve">Article 118 【The Meaning of Equal Respect for Others】</w:t>
      </w:r>
    </w:p>
    <w:p>
      <w:pPr>
        <w:pStyle w:val="FirstParagraph"/>
        <w:spacing w:after="120" w:line="312" w:lineRule="auto"/>
      </w:pPr>
      <w:r>
        <w:rPr>
          <w:rFonts w:ascii="DejaVu Serif" w:hAnsi="DejaVu Serif" w:eastAsia="Noto Serif CJK SC"/>
          <w:color w:val="000000"/>
          <w:sz w:val="22"/>
        </w:rPr>
        <w:t xml:space="preserve">The significance of equal respect for others is as follows: (1) To protect the realization of one’s own short, medium, and long-term wishes (interests) (services remain undamaged); (2) To protect oneself from unnecessary personal harm; (3) To avoid being counter-attacked, slandered, or harmed by others; (4) To avoid unnecessary administrative or criminal penalties. (If absolutely necessary, this is not within the scope of this Article’s restrictions)</w:t>
      </w:r>
    </w:p>
    <w:tbl>
      <w:tblPr>
        <w:tblStyle w:val="Table"/>
        <w:tblW w:type="pct" w:w="5011"/>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6"/>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significance of equal respect for others is as follows: (1) To protect the realization of one’s own short, medium, and long-term wishes (interests) (services remain undamaged); (2) To protect oneself from unnecessary personal harm; (3) To avoid being counter-attacked, slandered, or harmed by others; (4) To avoid unnecessary administrative or criminal penalties. (If absolutely necessary, this is not within the scope of this Article’s restrictions)</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reveals the significance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equal respect for others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not merely as a moral principle, but as a practical means of self-protection and interest realization.</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explains the form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benefiting others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through the substance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benefiting oneself,</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to be cross-referenced with Article 35 【Equal Exchange】 and Article 99 【Treating Others with Equal Attitude】.</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Articles 99, 67, 35.</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76"/>
    <w:bookmarkStart w:id="177" w:name="Xfdca4f96731228a205a788758632749c30a3875"/>
    <w:p>
      <w:pPr>
        <w:pStyle w:val="Heading3"/>
        <w:spacing w:after="120" w:line="312" w:lineRule="auto"/>
        <w:jc w:val="left"/>
      </w:pPr>
      <w:r>
        <w:rPr>
          <w:rFonts w:ascii="DejaVu Serif" w:hAnsi="DejaVu Serif" w:eastAsia="Noto Serif CJK SC"/>
          <w:color w:val="000000"/>
          <w:sz w:val="26"/>
        </w:rPr>
        <w:t xml:space="preserve">Article 119 【The Principle of Regular Review (Review-ization)】</w:t>
      </w:r>
    </w:p>
    <w:p>
      <w:pPr>
        <w:pStyle w:val="FirstParagraph"/>
        <w:spacing w:after="120" w:line="312" w:lineRule="auto"/>
      </w:pPr>
      <w:r>
        <w:rPr>
          <w:rFonts w:ascii="DejaVu Serif" w:hAnsi="DejaVu Serif" w:eastAsia="Noto Serif CJK SC"/>
          <w:color w:val="000000"/>
          <w:sz w:val="22"/>
        </w:rPr>
        <w:t xml:space="preserve">My summary of life’s experiences follows this principle: for every experience, it must be reviewed, reflected upon, and summarized to reach first-principles essence (human nature, human desires, and the exchange of interests &amp; wishes), and then from this first-principles essence, think from the intangible to the tangible, and from the macro to the micro. #This clause strengthens the depth requirement for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review and reflection,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connecting this Charter’s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one matter, one discussion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25) 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data-oriented thinking</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76), ensuring experience is transformed into reusable strategic capability#</w:t>
      </w:r>
    </w:p>
    <w:tbl>
      <w:tblPr>
        <w:tblStyle w:val="Table"/>
        <w:tblW w:type="pct" w:w="5011"/>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7"/>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My summary of life’s experiences follows this principle: for every experience, it must be reviewed, reflected upon, and summarized to reach first-principles essence (human nature, human desires, and the exchange of interests &amp; wishes), and then from this first-principles essence, think from the intangible to the tangible, and from the macro to the micro.</w:t>
            </w:r>
            <w:r>
              <w:rPr>
                <w:rFonts w:ascii="DejaVu Serif" w:hAnsi="DejaVu Serif" w:eastAsia="Noto Sans CJK SC"/>
                <w:color w:val="000000"/>
                <w:sz w:val="19"/>
              </w:rPr>
              <w:t xml:space="preserve"> </w:t>
            </w:r>
            <w:r>
              <w:rPr>
                <w:rFonts w:ascii="DejaVu Serif" w:hAnsi="DejaVu Serif" w:eastAsia="Noto Sans CJK SC"/>
                <w:i/>
                <w:iCs/>
                <w:color w:val="000000"/>
                <w:sz w:val="19"/>
              </w:rPr>
              <w:t xml:space="preserve">#Connecting</w:t>
            </w:r>
            <w:r>
              <w:rPr>
                <w:rFonts w:ascii="DejaVu Serif" w:hAnsi="DejaVu Serif" w:eastAsia="Noto Sans CJK SC"/>
                <w:i/>
                <w:iCs/>
                <w:color w:val="000000"/>
                <w:sz w:val="19"/>
              </w:rPr>
              <w:t xml:space="preserve"> </w:t>
            </w:r>
            <w:r>
              <w:rPr>
                <w:rFonts w:ascii="DejaVu Serif" w:hAnsi="DejaVu Serif" w:eastAsia="Noto Sans CJK SC"/>
                <w:i/>
                <w:iCs/>
                <w:color w:val="000000"/>
                <w:sz w:val="19"/>
              </w:rPr>
              <w:t xml:space="preserve">“</w:t>
            </w:r>
            <w:r>
              <w:rPr>
                <w:rFonts w:ascii="DejaVu Serif" w:hAnsi="DejaVu Serif" w:eastAsia="Noto Sans CJK SC"/>
                <w:i/>
                <w:iCs/>
                <w:color w:val="000000"/>
                <w:sz w:val="19"/>
              </w:rPr>
              <w:t xml:space="preserve">one matter, one discussion</w:t>
            </w:r>
            <w:r>
              <w:rPr>
                <w:rFonts w:ascii="DejaVu Serif" w:hAnsi="DejaVu Serif" w:eastAsia="Noto Sans CJK SC"/>
                <w:i/>
                <w:iCs/>
                <w:color w:val="000000"/>
                <w:sz w:val="19"/>
              </w:rPr>
              <w:t xml:space="preserve">”</w:t>
            </w:r>
            <w:r>
              <w:rPr>
                <w:rFonts w:ascii="DejaVu Serif" w:hAnsi="DejaVu Serif" w:eastAsia="Noto Sans CJK SC"/>
                <w:i/>
                <w:iCs/>
                <w:color w:val="000000"/>
                <w:sz w:val="19"/>
              </w:rPr>
              <w:t xml:space="preserve"> </w:t>
            </w:r>
            <w:r>
              <w:rPr>
                <w:rFonts w:ascii="DejaVu Serif" w:hAnsi="DejaVu Serif" w:eastAsia="Noto Sans CJK SC"/>
                <w:i/>
                <w:iCs/>
                <w:color w:val="000000"/>
                <w:sz w:val="19"/>
              </w:rPr>
              <w:t xml:space="preserve">and</w:t>
            </w:r>
            <w:r>
              <w:rPr>
                <w:rFonts w:ascii="DejaVu Serif" w:hAnsi="DejaVu Serif" w:eastAsia="Noto Sans CJK SC"/>
                <w:i/>
                <w:iCs/>
                <w:color w:val="000000"/>
                <w:sz w:val="19"/>
              </w:rPr>
              <w:t xml:space="preserve"> </w:t>
            </w:r>
            <w:r>
              <w:rPr>
                <w:rFonts w:ascii="DejaVu Serif" w:hAnsi="DejaVu Serif" w:eastAsia="Noto Sans CJK SC"/>
                <w:i/>
                <w:iCs/>
                <w:color w:val="000000"/>
                <w:sz w:val="19"/>
              </w:rPr>
              <w:t xml:space="preserve">“</w:t>
            </w:r>
            <w:r>
              <w:rPr>
                <w:rFonts w:ascii="DejaVu Serif" w:hAnsi="DejaVu Serif" w:eastAsia="Noto Sans CJK SC"/>
                <w:i/>
                <w:iCs/>
                <w:color w:val="000000"/>
                <w:sz w:val="19"/>
              </w:rPr>
              <w:t xml:space="preserve">data-oriented thinking</w:t>
            </w:r>
            <w:r>
              <w:rPr>
                <w:rFonts w:ascii="DejaVu Serif" w:hAnsi="DejaVu Serif" w:eastAsia="Noto Sans CJK SC"/>
                <w:i/>
                <w:iCs/>
                <w:color w:val="000000"/>
                <w:sz w:val="19"/>
              </w:rPr>
              <w:t xml:space="preserve">”</w:t>
            </w:r>
            <w:r>
              <w:rPr>
                <w:rFonts w:ascii="DejaVu Serif" w:hAnsi="DejaVu Serif" w:eastAsia="Noto Sans CJK SC"/>
                <w:i/>
                <w:iCs/>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Review and Reflection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principle — everything must be reviewed, must be traced to first-principles essence, and then deduced from that essence.</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To be cross-referenced with Article 25 【One Matter, One Discussion】, Article 45 【Attribution to the Person】, and Article 108 【Iteration】, this is my method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transforming experience into ability.</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Articles 25, 45, 108.</w:t>
            </w:r>
          </w:p>
        </w:tc>
      </w:tr>
      <w:tr>
        <w:tc>
          <w:tcPr/>
          <w:p>
            <w:pPr>
              <w:pStyle w:val="Compact"/>
              <w:spacing w:after="40" w:line="288" w:lineRule="auto"/>
              <w:jc w:val="left"/>
            </w:pPr>
            <w:r>
              <w:rPr>
                <w:rFonts w:ascii="DejaVu Serif" w:hAnsi="DejaVu Serif" w:eastAsia="Noto Sans CJK SC"/>
                <w:color w:val="000000"/>
                <w:sz w:val="19"/>
              </w:rPr>
              <w:t xml:space="preserve">(Continued to Articles 120-145)</w:t>
            </w:r>
          </w:p>
        </w:tc>
      </w:tr>
    </w:tbl>
    <w:bookmarkEnd w:id="177"/>
    <w:bookmarkEnd w:id="178"/>
    <w:bookmarkStart w:id="190" w:name="Xc2392aeb1d586693ca72b89ec399d6fe6e46d78"/>
    <w:p>
      <w:pPr>
        <w:pStyle w:val="Heading2"/>
        <w:spacing w:after="160" w:line="312" w:lineRule="auto"/>
        <w:jc w:val="left"/>
      </w:pPr>
      <w:r>
        <w:rPr>
          <w:rFonts w:ascii="DejaVu Serif" w:hAnsi="DejaVu Serif" w:eastAsia="Noto Serif CJK SC"/>
          <w:color w:val="000000"/>
          <w:sz w:val="30"/>
        </w:rPr>
        <w:t xml:space="preserve">Volume Twelve Supplementary Provisions and Civilizational Beliefs Chapter</w:t>
      </w:r>
    </w:p>
    <w:p>
      <w:pPr>
        <w:spacing w:after="120" w:line="312" w:lineRule="auto"/>
      </w:pPr>
      <w:r>
        <w:rPr>
          <w:rFonts w:ascii="DejaVu Serif" w:hAnsi="DejaVu Serif" w:eastAsia="Noto Serif CJK SC"/>
          <w:color w:val="000000"/>
          <w:sz w:val="22"/>
        </w:rPr>
        <w:pict>
          <v:rect style="width:0;height:1.5pt" o:hralign="center" o:hrstd="t" o:hr="t"/>
        </w:pict>
      </w:r>
    </w:p>
    <w:bookmarkStart w:id="179" w:name="X8866037ba6bb479418cc372e4e116aac7556452"/>
    <w:p>
      <w:pPr>
        <w:pStyle w:val="Heading3"/>
        <w:spacing w:after="120" w:line="312" w:lineRule="auto"/>
        <w:jc w:val="left"/>
      </w:pPr>
      <w:r>
        <w:rPr>
          <w:rFonts w:ascii="DejaVu Serif" w:hAnsi="DejaVu Serif" w:eastAsia="Noto Serif CJK SC"/>
          <w:color w:val="000000"/>
          <w:sz w:val="26"/>
        </w:rPr>
        <w:t xml:space="preserve">Article 120 【Summary of Currency-Earning Models】</w:t>
      </w:r>
    </w:p>
    <w:p>
      <w:pPr>
        <w:pStyle w:val="FirstParagraph"/>
        <w:spacing w:after="120" w:line="312" w:lineRule="auto"/>
      </w:pPr>
      <w:r>
        <w:rPr>
          <w:rFonts w:ascii="DejaVu Serif" w:hAnsi="DejaVu Serif" w:eastAsia="Noto Serif CJK SC"/>
          <w:color w:val="000000"/>
          <w:sz w:val="22"/>
        </w:rPr>
        <w:t xml:space="preserve">A summary of common currency-earning modes is as follows: (I) Government Mode – Layoutism – Dividing the cake (interest/profit distribution), tasks + collecting taxes in various forms + collecting currency for illegal acts (fines/penalties); (II) Financial Mode (Investment Mode/Capital Mode) – Market-makingism – using currency, securities, etc. as main tools, employing the leverage of lending (future monetary returns) + the model of current interest to obtain returns; (III) Typical Company Enterprise Modes: Paragraph 1.</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Quasi-government Rule-based</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Layout and Market-making Mode Projects: Item 1. By establishing platforms, formulating platform rules, giving part of the profits to platform participants first… and other actions, to share profits with other platform participants (according to the principle of government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taxation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Item 2. By establishing platforms, formulating platform rules and other actions, to obtain income from violation penalties (according to the principle of government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taxation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Paragraph 2. Cash Flow Operation Mode Projects: Item 1. Partnership Model Projects (e.g., stock ownership plans for all quality personnel, strategic cooperation between legal entities and personnel cooperation plans, etc.); Item 2. Membership, Club Model Projects (e.g., private board of directors, closed-door seminar clubs, etc.); Item 3. Franchise Model Projects; Item 4. Agency (fees), commission collection/service fee advance centralized collection model projects; Item 5. Intermediary, information gap bridge commission model projects; Paragraph 3. Training type, 【Information】consulting type fee collection model projects (pure profit document-based standardized model with 0 marginal cost thereafter); Paragraph 4. Relatively large-scale (1-to-many service) capital gains (spread) model projects (the most common, popular, mode used by the vast majority of people); (IV) Mass Business Model Projects – Individual’s Thinking and Action Mode: Paragraph 1. Small-scale (1-to-1 service) capital gains (spread) model (the most common, popular, mode used by the vast majority of people); (V) Pure time, physical strength, energy selling thinking and action mode: Paragraph 1. Working mode (employee, civil and commercial partner, civil and commercial collaborator, employee mode, civil and commercial partner, civil and commercial collaborator, employee mode/employee mode);#This clause systematically summarizes currency-earning modes, connecting this Charter’s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Core Asset Creation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20) 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Life Direction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8), providing reference for profit choices at different stages#</w:t>
      </w:r>
    </w:p>
    <w:tbl>
      <w:tblPr>
        <w:tblStyle w:val="Table"/>
        <w:tblW w:type="pct" w:w="5006"/>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9"/>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 summary of common currency-earning modes is as follows: (I) Government Mode – Layoutism – Dividing the cake (interest/profit distribution), tasks + collecting taxes in various forms + collecting currency for illegal acts (fines/penalties); (II) Financial Mode (Investment Mode/Capital Mode) – Market-makingism – using currency, securities, etc. as main tools, employing the leverage of lending (future monetary returns) + the model of current interest to obtain returns; (III) Typical Company Enterprise Modes: Paragraph 1.</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Quasi-government Rule-based</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Layout and Market-making Mode Projects (establishing platforms, formulating rules, profit sharing, violation income); Paragraph 2. Cash Flow Operation Mode Items…(The full text shall be taken as the authentic text).</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【Discussion】It is stated herein: This article systematically summarizes the various modes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currency earning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government mode (dividing the cake, taxation, fines), financial mode (market-making, leverage, interest), and company enterprise mode (platform rules). The legislative intent is to enable the drafter to understand the mechanism of wealth generation,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know its way, clarify its methods.</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【Discussion】This article serves as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cognitive map</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for my business and investment, to be cross-referenced with Article 68 【Nature of Currency】, Article 69 【Nature of Finance】, and Article 80 【Nature of the Game of Life】. All references to</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commission sharing,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fines,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etc., are objective descriptions of existing modes, not the path I take (my life’s work is based on altruism and win-win outcomes).</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68, Article 69, Article 80, Article 71.</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79"/>
    <w:bookmarkStart w:id="180" w:name="X648cccbbb16870fe3dd7d07e4994269a3d43aef"/>
    <w:p>
      <w:pPr>
        <w:pStyle w:val="Heading3"/>
        <w:spacing w:after="120" w:line="312" w:lineRule="auto"/>
        <w:jc w:val="left"/>
      </w:pPr>
      <w:r>
        <w:rPr>
          <w:rFonts w:ascii="DejaVu Serif" w:hAnsi="DejaVu Serif" w:eastAsia="Noto Serif CJK SC"/>
          <w:color w:val="000000"/>
          <w:sz w:val="26"/>
        </w:rPr>
        <w:t xml:space="preserve">Article 121 【Scope of Application of This Charter】</w:t>
      </w:r>
    </w:p>
    <w:p>
      <w:pPr>
        <w:pStyle w:val="FirstParagraph"/>
        <w:spacing w:after="120" w:line="312" w:lineRule="auto"/>
      </w:pPr>
      <w:r>
        <w:rPr>
          <w:rFonts w:ascii="DejaVu Serif" w:hAnsi="DejaVu Serif" w:eastAsia="Noto Serif CJK SC"/>
          <w:color w:val="000000"/>
          <w:sz w:val="22"/>
        </w:rPr>
        <w:t xml:space="preserve">All planning, organizing, coordinating, mobilizing, and all other thinking and behavioral activities of the drafter of this Charter, ****, in their life are subject to this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Charter of Life Action.</w:t>
      </w:r>
      <w:r>
        <w:rPr>
          <w:rFonts w:ascii="DejaVu Serif" w:hAnsi="DejaVu Serif" w:eastAsia="Noto Serif CJK SC"/>
          <w:color w:val="000000"/>
          <w:sz w:val="22"/>
        </w:rPr>
        <w:t xml:space="preserve">”</w:t>
      </w:r>
    </w:p>
    <w:tbl>
      <w:tblPr>
        <w:tblStyle w:val="Table"/>
        <w:tblW w:type="pct" w:w="5021"/>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53"/>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All planning, organizing, coordinating, mobilizing, and all other thinking and behavioral activities of the drafter of this Charter, ****, in their life are subject to this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Charter of Life Action.</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【Discussion】This article defines the</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scope of application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the Charter – all thinking and behavioral activities (planning, organizing, coordinating, mobilizing, etc.) of the drafter are subject to this Charter.</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is to be cross-referenced with Article 1 【Purpose】 and Article 124 【Unaddressed Matters】, to clarify the application principle of the Charter’s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full coverage, no blind spots</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 Article 124, Article 127.</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80"/>
    <w:bookmarkStart w:id="181" w:name="Xe2d3ff6600235e9472e802e8306f6a792e447df"/>
    <w:p>
      <w:pPr>
        <w:pStyle w:val="Heading3"/>
        <w:spacing w:after="120" w:line="312" w:lineRule="auto"/>
        <w:jc w:val="left"/>
      </w:pPr>
      <w:r>
        <w:rPr>
          <w:rFonts w:ascii="DejaVu Serif" w:hAnsi="DejaVu Serif" w:eastAsia="Noto Serif CJK SC"/>
          <w:color w:val="000000"/>
          <w:sz w:val="26"/>
        </w:rPr>
        <w:t xml:space="preserve">Article 122 【Attribution of the Power to Conclude, Amend, Partially Repeal and Fully Repeal the Charter】</w:t>
      </w:r>
    </w:p>
    <w:p>
      <w:pPr>
        <w:pStyle w:val="FirstParagraph"/>
        <w:spacing w:after="120" w:line="312" w:lineRule="auto"/>
      </w:pPr>
      <w:r>
        <w:rPr>
          <w:rFonts w:ascii="DejaVu Serif" w:hAnsi="DejaVu Serif" w:eastAsia="Noto Serif CJK SC"/>
          <w:color w:val="000000"/>
          <w:sz w:val="22"/>
        </w:rPr>
        <w:t xml:space="preserve">The right to establish, amend, partially repeal, and fully repeal this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Charter of Life Action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belongs to the Charter-Maker ****.</w:t>
      </w:r>
    </w:p>
    <w:tbl>
      <w:tblPr>
        <w:tblStyle w:val="Table"/>
        <w:tblW w:type="pct" w:w="5020"/>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52"/>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right to establish, amend, partially repeal, and fully repeal this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Charter of Life Action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belongs to the Charter-Maker****.</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explicitly stipulates that the rights to</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establish, amend, and repeal</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Charter are exclusively held by the Charter-Maker, serving as a institutional guarantee for the Charter’s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sovereignty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To be cross-referenced with Article 123 【Right of Interpretation】 and Article 1-2 【Constituent Subject】, this demonstrates the fundamental attribute of the Charter’s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self-legislation, self-amendment</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123, Article 1, Article 116 【Bequest】.</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81"/>
    <w:bookmarkStart w:id="182" w:name="X96f2c8aa593957b5ce7a9287d2141ce74bc531d"/>
    <w:p>
      <w:pPr>
        <w:pStyle w:val="Heading3"/>
        <w:spacing w:after="120" w:line="312" w:lineRule="auto"/>
        <w:jc w:val="left"/>
      </w:pPr>
      <w:r>
        <w:rPr>
          <w:rFonts w:ascii="DejaVu Serif" w:hAnsi="DejaVu Serif" w:eastAsia="Noto Serif CJK SC"/>
          <w:color w:val="000000"/>
          <w:sz w:val="26"/>
        </w:rPr>
        <w:t xml:space="preserve">Article 123 【Attribution of the Final Power of Interpretation of the Charter】</w:t>
      </w:r>
    </w:p>
    <w:p>
      <w:pPr>
        <w:pStyle w:val="FirstParagraph"/>
        <w:spacing w:after="120" w:line="312" w:lineRule="auto"/>
      </w:pPr>
      <w:r>
        <w:rPr>
          <w:rFonts w:ascii="DejaVu Serif" w:hAnsi="DejaVu Serif" w:eastAsia="Noto Serif CJK SC"/>
          <w:color w:val="000000"/>
          <w:sz w:val="22"/>
        </w:rPr>
        <w:t xml:space="preserve">The right of final interpretation of this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Charter of Life Action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belongs to the Charter-Maker ****.</w:t>
      </w:r>
    </w:p>
    <w:tbl>
      <w:tblPr>
        <w:tblStyle w:val="Table"/>
        <w:tblW w:type="pct" w:w="5015"/>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4"/>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right of final interpretation of this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Charter of Life Action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belongs to the Charter-Maker****.</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explicitly stipulates that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right of final interpretation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exclusively held by the Charter-Maker. This Sub-commentary is compiled pursuant to the authorization of this right, serving as supplementary interpretation and not overstepping the right of final interpretation.</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To be cross-referenced with Article 122. In any case where the interpretation in this Sub-commentary differs from that of the Charter-Maker, the interpretation of the Charter-Maker shall prevail (see General Rule 1).</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122, Article 124, Annex H.01.001 【Interpretive Letter】.</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82"/>
    <w:bookmarkStart w:id="183" w:name="X2193f8f07c5c606fedad28c571b1464af196c69"/>
    <w:p>
      <w:pPr>
        <w:pStyle w:val="Heading3"/>
        <w:spacing w:after="120" w:line="312" w:lineRule="auto"/>
        <w:jc w:val="left"/>
      </w:pPr>
      <w:r>
        <w:rPr>
          <w:rFonts w:ascii="DejaVu Serif" w:hAnsi="DejaVu Serif" w:eastAsia="Noto Serif CJK SC"/>
          <w:color w:val="000000"/>
          <w:sz w:val="26"/>
        </w:rPr>
        <w:t xml:space="preserve">Article 124 【Matters Not Exhaustively Provided For】</w:t>
      </w:r>
    </w:p>
    <w:p>
      <w:pPr>
        <w:pStyle w:val="FirstParagraph"/>
        <w:spacing w:after="120" w:line="312" w:lineRule="auto"/>
      </w:pPr>
      <w:r>
        <w:rPr>
          <w:rFonts w:ascii="DejaVu Serif" w:hAnsi="DejaVu Serif" w:eastAsia="Noto Serif CJK SC"/>
          <w:color w:val="000000"/>
          <w:sz w:val="22"/>
        </w:rPr>
        <w:t xml:space="preserve">For matters not addressed in this Charter, I shall, in accordance with the principles of the Charter, make my own determination after specific analysis and then take action.</w:t>
      </w:r>
    </w:p>
    <w:tbl>
      <w:tblPr>
        <w:tblStyle w:val="Table"/>
        <w:tblW w:type="pct" w:w="5019"/>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50"/>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For matters not addressed in this Charter, I shall, in accordance with the principles of the Charter, make my own determination after specific analysis and then take action.</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establishes the handling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unaddressed matters</w:t>
            </w:r>
            <w:r>
              <w:rPr>
                <w:rFonts w:ascii="DejaVu Serif" w:hAnsi="DejaVu Serif" w:eastAsia="Noto Sans CJK SC"/>
                <w:color w:val="000000"/>
                <w:sz w:val="19"/>
              </w:rPr>
              <w:t xml:space="preserve">”</w:t>
            </w:r>
            <w:r>
              <w:rPr>
                <w:rFonts w:ascii="DejaVu Serif" w:hAnsi="DejaVu Serif" w:eastAsia="Noto Sans CJK SC"/>
                <w:color w:val="000000"/>
                <w:sz w:val="19"/>
              </w:rPr>
              <w:t xml:space="preserve">—to act in accordance with Charter principles, by autonomous determination, after specific analysis.</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is to be cross-referenced with Article 25 【Matters on a Case-by-Case Basis】 and Article 126 【Latest Application】, demonstrating the flexibility of the Charter’s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principles as the framework, open application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25, Article 126, Article 121.</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83"/>
    <w:bookmarkStart w:id="184" w:name="X027d6efb1df8adbfeda5ed2b05f51e6b2299b5e"/>
    <w:p>
      <w:pPr>
        <w:pStyle w:val="Heading3"/>
        <w:spacing w:after="120" w:line="312" w:lineRule="auto"/>
        <w:jc w:val="left"/>
      </w:pPr>
      <w:r>
        <w:rPr>
          <w:rFonts w:ascii="DejaVu Serif" w:hAnsi="DejaVu Serif" w:eastAsia="Noto Serif CJK SC"/>
          <w:color w:val="000000"/>
          <w:sz w:val="26"/>
        </w:rPr>
        <w:t xml:space="preserve">Article 125 【Response to Amendment of Laws and Regulations】</w:t>
      </w:r>
    </w:p>
    <w:p>
      <w:pPr>
        <w:pStyle w:val="FirstParagraph"/>
        <w:spacing w:after="120" w:line="312" w:lineRule="auto"/>
      </w:pPr>
      <w:r>
        <w:rPr>
          <w:rFonts w:ascii="DejaVu Serif" w:hAnsi="DejaVu Serif" w:eastAsia="Noto Serif CJK SC"/>
          <w:color w:val="000000"/>
          <w:sz w:val="22"/>
        </w:rPr>
        <w:t xml:space="preserve">If the laws and regulations of the place of residence are amended, and their mandatory provisions produce an irreconcilable substantive conflict with this Charter, then the provisions of this Charter that have a substantive conflict with the laws and regulations shall be amended in accordance with the explicit mandatory provisions of the laws and regulations before implementation.</w:t>
      </w:r>
    </w:p>
    <w:tbl>
      <w:tblPr>
        <w:tblStyle w:val="Table"/>
        <w:tblW w:type="pct" w:w="5012"/>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9"/>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If the laws and regulations of the place of residence are amended, and their mandatory provisions produce an irreconcilable substantive conflict with this Charter, then the provisions of this Charter that have a substantive conflict with the laws and regulations shall be amended in accordance with the explicit mandatory provisions of the laws and regulations before implementation.</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establishes the principle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legal precedence</w:t>
            </w:r>
            <w:r>
              <w:rPr>
                <w:rFonts w:ascii="DejaVu Serif" w:hAnsi="DejaVu Serif" w:eastAsia="Noto Sans CJK SC"/>
                <w:color w:val="000000"/>
                <w:sz w:val="19"/>
              </w:rPr>
              <w:t xml:space="preserve">”</w:t>
            </w:r>
            <w:r>
              <w:rPr>
                <w:rFonts w:ascii="DejaVu Serif" w:hAnsi="DejaVu Serif" w:eastAsia="Noto Sans CJK SC"/>
                <w:color w:val="000000"/>
                <w:sz w:val="19"/>
              </w:rPr>
              <w:t xml:space="preserve">—wherever there is an irreconcilable conflict between the Charter and the mandatory provisions of the local laws and regulations, the Charter’s provisions shall be amended to comply with the law.</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serves as the highest guarantee for the Charter’s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legal bottom line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 is to be cross-referenced with Article 7 【No Violation of Mandatory Legal Provisions】, Article 98, and Article 127. Whenever laws are amended, the Charter shall be adjusted accordingly to ensure that my actions in life are always lawful.</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7, Article 98, Article 126, Annex G.01.001.</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84"/>
    <w:bookmarkStart w:id="185" w:name="X4aafa0f221bfd24543a85d019fa49fe2adbd311"/>
    <w:p>
      <w:pPr>
        <w:pStyle w:val="Heading3"/>
        <w:spacing w:after="120" w:line="312" w:lineRule="auto"/>
        <w:jc w:val="left"/>
      </w:pPr>
      <w:r>
        <w:rPr>
          <w:rFonts w:ascii="DejaVu Serif" w:hAnsi="DejaVu Serif" w:eastAsia="Noto Serif CJK SC"/>
          <w:color w:val="000000"/>
          <w:sz w:val="26"/>
        </w:rPr>
        <w:t xml:space="preserve">Article 126 【The Principle of Applying the Latest Charter】</w:t>
      </w:r>
    </w:p>
    <w:p>
      <w:pPr>
        <w:pStyle w:val="FirstParagraph"/>
        <w:spacing w:after="120" w:line="312" w:lineRule="auto"/>
      </w:pPr>
      <w:r>
        <w:rPr>
          <w:rFonts w:ascii="DejaVu Serif" w:hAnsi="DejaVu Serif" w:eastAsia="Noto Serif CJK SC"/>
          <w:color w:val="000000"/>
          <w:sz w:val="22"/>
        </w:rPr>
        <w:t xml:space="preserve">Where there is an inconsistency between a previous version of the Charter and this Charter (the latest version), this latest version of the Charter shall prevail.</w:t>
      </w:r>
    </w:p>
    <w:tbl>
      <w:tblPr>
        <w:tblStyle w:val="Table"/>
        <w:tblW w:type="pct" w:w="5015"/>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4"/>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Where there is an inconsistency between a previous version of the Charter and this Charter (the latest version), this latest version of the Charter shall prevail.</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establishes the conflict rule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new provisions prevail over old ones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—where there is an inconsistency between an older version and the latest version, the latest version shall prevail.</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is consistent with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new provisions prevail over old ones, special provisions prevail over general ones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the General Principles of the System, and serves as the basis for this Sub-commentary in handling the legislative history of various amendments (see General Rule 6).</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125, Article 124, General Rule 6.</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85"/>
    <w:bookmarkStart w:id="186" w:name="X8e1b50c2c87c73e442d4ea0d5017c30ef71e30b"/>
    <w:p>
      <w:pPr>
        <w:pStyle w:val="Heading3"/>
        <w:spacing w:after="120" w:line="312" w:lineRule="auto"/>
        <w:jc w:val="left"/>
      </w:pPr>
      <w:r>
        <w:rPr>
          <w:rFonts w:ascii="DejaVu Serif" w:hAnsi="DejaVu Serif" w:eastAsia="Noto Serif CJK SC"/>
          <w:color w:val="000000"/>
          <w:sz w:val="26"/>
        </w:rPr>
        <w:t xml:space="preserve">Article 127 【Effective Date of the Charter】</w:t>
      </w:r>
    </w:p>
    <w:p>
      <w:pPr>
        <w:pStyle w:val="FirstParagraph"/>
        <w:spacing w:after="120" w:line="312" w:lineRule="auto"/>
      </w:pPr>
      <w:r>
        <w:rPr>
          <w:rFonts w:ascii="DejaVu Serif" w:hAnsi="DejaVu Serif" w:eastAsia="Noto Serif CJK SC"/>
          <w:color w:val="000000"/>
          <w:sz w:val="22"/>
        </w:rPr>
        <w:t xml:space="preserve">This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Charter of Life Action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shall be effective from **** (originally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August 13, 2022</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The behavioral logic that is beneficial to me is, for others, beneficial to them; because others are also people (the three words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any person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are omitted by default before legal provisions) (or with three meanings): (1) Based on the individual 【and their actual needs】 vs. based on (all) humanity 【and their consensus-based needs】;</w:t>
      </w:r>
    </w:p>
    <w:p>
      <w:pPr>
        <w:pStyle w:val="Compact"/>
        <w:numPr>
          <w:ilvl w:val="0"/>
          <w:numId w:val="1024"/>
        </w:numPr>
        <w:spacing w:after="120" w:line="312" w:lineRule="auto"/>
      </w:pPr>
      <w:r>
        <w:rPr>
          <w:rFonts w:ascii="DejaVu Serif" w:hAnsi="DejaVu Serif" w:eastAsia="Noto Serif CJK SC"/>
          <w:color w:val="000000"/>
          <w:sz w:val="22"/>
        </w:rPr>
        <w:t xml:space="preserve">Based on the idealized person in theory vs. based on a real, flesh-and-blood person with human nature; (3) Based on the person’s specific manifested needs vs. based on the theoretical summary of abstract common needs.</w:t>
      </w:r>
    </w:p>
    <w:tbl>
      <w:tblPr>
        <w:tblStyle w:val="Table"/>
        <w:tblW w:type="pct" w:w="5012"/>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8"/>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This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Charter of Life Action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shall be effective from August 13, 2022.</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explicitly stipulates the effective date of the Charter—August 13, 2022. This is the foundational basis for the law of my life.</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【Discussion】It is stated: After the Charter came into effect, it has undergone successive corrections (see Part 2 for details), yet its original effective date remains unchanged. The effective dates of each Amendment shall be calculated separately (e.g., the Helping Boundaries Supplementary Correction from October 20, 2025, and the Binary Iron Law of Organizational Participation from August 22, 2026).</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 Part 2 【Amendment System】.</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86"/>
    <w:bookmarkStart w:id="187" w:name="X6d8bbdb98e06d63dd2abb7e8afba6bad2e6c17c"/>
    <w:p>
      <w:pPr>
        <w:pStyle w:val="Heading3"/>
        <w:spacing w:after="120" w:line="312" w:lineRule="auto"/>
        <w:jc w:val="left"/>
      </w:pPr>
      <w:r>
        <w:rPr>
          <w:rFonts w:ascii="DejaVu Serif" w:hAnsi="DejaVu Serif" w:eastAsia="Noto Serif CJK SC"/>
          <w:color w:val="000000"/>
          <w:sz w:val="26"/>
        </w:rPr>
        <w:t xml:space="preserve">Article 128 【The Core Definition of Civilizational Success】</w:t>
      </w:r>
    </w:p>
    <w:p>
      <w:pPr>
        <w:pStyle w:val="FirstParagraph"/>
        <w:spacing w:after="120" w:line="312" w:lineRule="auto"/>
      </w:pPr>
      <w:r>
        <w:rPr>
          <w:rFonts w:ascii="DejaVu Serif" w:hAnsi="DejaVu Serif" w:eastAsia="Noto Serif CJK SC"/>
          <w:color w:val="000000"/>
          <w:sz w:val="22"/>
        </w:rPr>
        <w:t xml:space="preserve">The core definition of civilizational success is the elimination of the shadows of human nature (such as extreme egoistic personality), specifically including: (1) The majority of people can stably enjoy an abundant life based on trust, cooperation, and love; (2) Extreme personalities and their philosophies of existence are marginalized and neutralized, unable to impact the mainstream values of civilization. #This clause was newly added pursuant to</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Correction Bill (3),</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expanding the value dimensions of the Charter from</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personal life planning</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to</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civilizational value identification,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aligning with the highest principle of this Charter to</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promote the construction of a community with a shared future for mankind</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1-2) #</w:t>
      </w:r>
    </w:p>
    <w:tbl>
      <w:tblPr>
        <w:tblStyle w:val="Table"/>
        <w:tblW w:type="pct" w:w="5010"/>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5"/>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core definition of civilizational success is the elimination of the shadows of human nature (such as extreme egoistic personality), specifically including: (1) The majority of people can stably enjoy an abundant life based on trust, cooperation, and love; (2) Extreme personalities and their philosophies of existence are marginalized and neutralized, unable to impact the mainstream values of civilization.</w:t>
            </w:r>
            <w:r>
              <w:rPr>
                <w:rFonts w:ascii="DejaVu Serif" w:hAnsi="DejaVu Serif" w:eastAsia="Noto Sans CJK SC"/>
                <w:color w:val="000000"/>
                <w:sz w:val="19"/>
              </w:rPr>
              <w:t xml:space="preserve"> </w:t>
            </w:r>
            <w:r>
              <w:rPr>
                <w:rFonts w:ascii="DejaVu Serif" w:hAnsi="DejaVu Serif" w:eastAsia="Noto Sans CJK SC"/>
                <w:i/>
                <w:iCs/>
                <w:color w:val="000000"/>
                <w:sz w:val="19"/>
              </w:rPr>
              <w:t xml:space="preserve">(This clause was newly added pursuant to</w:t>
            </w:r>
            <w:r>
              <w:rPr>
                <w:rFonts w:ascii="DejaVu Serif" w:hAnsi="DejaVu Serif" w:eastAsia="Noto Sans CJK SC"/>
                <w:i/>
                <w:iCs/>
                <w:color w:val="000000"/>
                <w:sz w:val="19"/>
              </w:rPr>
              <w:t xml:space="preserve"> </w:t>
            </w:r>
            <w:r>
              <w:rPr>
                <w:rFonts w:ascii="DejaVu Serif" w:hAnsi="DejaVu Serif" w:eastAsia="Noto Sans CJK SC"/>
                <w:i/>
                <w:iCs/>
                <w:color w:val="000000"/>
                <w:sz w:val="19"/>
              </w:rPr>
              <w:t xml:space="preserve">“</w:t>
            </w:r>
            <w:r>
              <w:rPr>
                <w:rFonts w:ascii="DejaVu Serif" w:hAnsi="DejaVu Serif" w:eastAsia="Noto Sans CJK SC"/>
                <w:i/>
                <w:iCs/>
                <w:color w:val="000000"/>
                <w:sz w:val="19"/>
              </w:rPr>
              <w:t xml:space="preserve">Correction Bill (3)</w:t>
            </w:r>
            <w:r>
              <w:rPr>
                <w:rFonts w:ascii="DejaVu Serif" w:hAnsi="DejaVu Serif" w:eastAsia="Noto Sans CJK SC"/>
                <w:i/>
                <w:iCs/>
                <w:color w:val="000000"/>
                <w:sz w:val="19"/>
              </w:rPr>
              <w:t xml:space="preserve">”</w:t>
            </w:r>
            <w:r>
              <w:rPr>
                <w:rFonts w:ascii="DejaVu Serif" w:hAnsi="DejaVu Serif" w:eastAsia="Noto Sans CJK SC"/>
                <w:i/>
                <w:iCs/>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【Discussion】This article was newly added by Correction Bill (3), establishing the core definition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civilizational success</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elimination of the shadows of human nature, enabling the majority to enjoy an abundant life and marginalizing extreme personalities. This marks the extension of the Charter from</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personal life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to</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civilizational values,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echoing the highest principle of Article 1-2.</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【Discussion】This article serves as the general provision for Articles 129 to 145,</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Civilization and Belief.</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spirit of this article is that</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civilization can coexist with shadows and always lead toward light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(see Article 132).</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1-2, Articles 129 to 145, Annex A.05.001.</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87"/>
    <w:bookmarkStart w:id="188" w:name="X55470985ea113a8f39e93609c6178f4a98a906e"/>
    <w:p>
      <w:pPr>
        <w:pStyle w:val="Heading3"/>
        <w:spacing w:after="120" w:line="312" w:lineRule="auto"/>
        <w:jc w:val="left"/>
      </w:pPr>
      <w:r>
        <w:rPr>
          <w:rFonts w:ascii="DejaVu Serif" w:hAnsi="DejaVu Serif" w:eastAsia="Noto Serif CJK SC"/>
          <w:color w:val="000000"/>
          <w:sz w:val="26"/>
        </w:rPr>
        <w:t xml:space="preserve">Article 129 【The Guiding Duty of the Education System】</w:t>
      </w:r>
    </w:p>
    <w:p>
      <w:pPr>
        <w:pStyle w:val="FirstParagraph"/>
        <w:spacing w:after="120" w:line="312" w:lineRule="auto"/>
      </w:pPr>
      <w:r>
        <w:rPr>
          <w:rFonts w:ascii="DejaVu Serif" w:hAnsi="DejaVu Serif" w:eastAsia="Noto Serif CJK SC"/>
          <w:color w:val="000000"/>
          <w:sz w:val="22"/>
        </w:rPr>
        <w:t xml:space="preserve">Within the framework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Civilizational Success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chapter, the guiding obligation of the education system is clarified: it is necessary to include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cognition of the human spectrum</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value of infinite games (sustainable cooperation and inheritance)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compulsory content. Through the following methods, it helps individuals recognize the harm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extreme personalities (such as the loss of deep trust and inner peace)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avoid identifying with extreme philosophies of existence from the cognitive source: (1) Offer courses on cross-cultural human nature studies, analyzing human traits and cooperation models across different civilizations; (2) Organize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infinite game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practical activities, simulating long-term cooperation scenarios (such as cross-national project collaboration); (3) Invite cross-disciplinary experts (such as psychologists, sociologists) to interpret the formation mechanisms of extreme personalities and methods to avoid them. #This clause was extended pursuant to</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Correction Bill (3),</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connecting with Article 128’s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definition of civilizational success,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consolidating the foundation of civilizational values through educational guidance, aligning with this Charter’s principle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lifelong learning</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2, Item 17) #</w:t>
      </w:r>
    </w:p>
    <w:tbl>
      <w:tblPr>
        <w:tblStyle w:val="Table"/>
        <w:tblW w:type="pct" w:w="5006"/>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0"/>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Within the framework of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Civilizational Success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chapter, the guiding obligation of the education system is clarified: it is necessary to include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cognition of the human spectrum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value of infinite games (sustainable cooperation and inheritance)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compulsory content. Through the following methods, it helps individuals recognize the harm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extreme personalities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 avoid identifying with extreme philosophies of existence from the cognitive source: (1) Offer courses on cross-cultural human nature studies; (2) Organize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infinite game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practical activities; (3) Invite cross-disciplinary experts to interpret the formation mechanisms of extreme personalities and methods to avoid them. (This clause was extended pursuant to</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Correction Bill (3)</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guiding obligation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the education system—through courses and practices, to cultivate the value of cooperation and inheritance, and to prevent identification with extreme personalities.</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【Discussion】To be referenced with Articles 128 and 140 【Lifelong Faith Education】, showing this author’s ideal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cultivating civilization through education.</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Articles 128, 130, and 140.</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88"/>
    <w:bookmarkStart w:id="189" w:name="X7870f515691437e5e9101cbc2d6df3540730fc1"/>
    <w:p>
      <w:pPr>
        <w:pStyle w:val="Heading3"/>
        <w:spacing w:after="120" w:line="312" w:lineRule="auto"/>
        <w:jc w:val="left"/>
      </w:pPr>
      <w:r>
        <w:rPr>
          <w:rFonts w:ascii="DejaVu Serif" w:hAnsi="DejaVu Serif" w:eastAsia="Noto Serif CJK SC"/>
          <w:color w:val="000000"/>
          <w:sz w:val="26"/>
        </w:rPr>
        <w:t xml:space="preserve">Article 130 【The Right to Maintain Individual Belief】</w:t>
      </w:r>
    </w:p>
    <w:p>
      <w:pPr>
        <w:pStyle w:val="FirstParagraph"/>
        <w:spacing w:after="120" w:line="312" w:lineRule="auto"/>
      </w:pPr>
      <w:r>
        <w:rPr>
          <w:rFonts w:ascii="DejaVu Serif" w:hAnsi="DejaVu Serif" w:eastAsia="Noto Serif CJK SC"/>
          <w:color w:val="000000"/>
          <w:sz w:val="22"/>
        </w:rPr>
        <w:t xml:space="preserve">Individuals have the right to independently choose and maintain beliefs that align with mainstream civilizational values, specifically including: (1) The right to refuse any involuntary indoctrination of beliefs, including but not limited to religion, ideology, etc.; (2) Within the scope permitted by law, to deepen personal beliefs through means such as reading, exchange, and practice; (3) When personal beliefs are subject to malicious attacks or interference by others, the right to protect them through legal means (such as legal litigation, clarification in public opinion);</w:t>
      </w:r>
    </w:p>
    <w:bookmarkEnd w:id="189"/>
    <w:bookmarkEnd w:id="190"/>
    <w:bookmarkEnd w:id="191"/>
    <w:bookmarkStart w:id="210" w:name="Xf134e51d84f178212e46fbc256c9d3a042cae59"/>
    <w:p>
      <w:pPr>
        <w:pStyle w:val="Heading1"/>
        <w:spacing w:after="240" w:line="312" w:lineRule="auto"/>
        <w:jc w:val="center"/>
      </w:pPr>
      <w:r>
        <w:rPr>
          <w:rFonts w:ascii="DejaVu Serif" w:hAnsi="DejaVu Serif" w:eastAsia="Noto Serif CJK SC"/>
          <w:color w:val="000000"/>
          <w:sz w:val="34"/>
        </w:rPr>
        <w:t xml:space="preserve">This clause was newly added in the</w:t>
      </w:r>
      <w:r>
        <w:rPr>
          <w:rFonts w:ascii="DejaVu Serif" w:hAnsi="DejaVu Serif" w:eastAsia="Noto Serif CJK SC"/>
          <w:color w:val="000000"/>
          <w:sz w:val="34"/>
        </w:rPr>
        <w:t xml:space="preserve"> </w:t>
      </w:r>
      <w:r>
        <w:rPr>
          <w:rFonts w:ascii="DejaVu Serif" w:hAnsi="DejaVu Serif" w:eastAsia="Noto Serif CJK SC"/>
          <w:color w:val="000000"/>
          <w:sz w:val="34"/>
        </w:rPr>
        <w:t xml:space="preserve">“</w:t>
      </w:r>
      <w:r>
        <w:rPr>
          <w:rFonts w:ascii="DejaVu Serif" w:hAnsi="DejaVu Serif" w:eastAsia="Noto Serif CJK SC"/>
          <w:color w:val="000000"/>
          <w:sz w:val="34"/>
        </w:rPr>
        <w:t xml:space="preserve">Individual Faith Maintenance and Social Support</w:t>
      </w:r>
      <w:r>
        <w:rPr>
          <w:rFonts w:ascii="DejaVu Serif" w:hAnsi="DejaVu Serif" w:eastAsia="Noto Serif CJK SC"/>
          <w:color w:val="000000"/>
          <w:sz w:val="34"/>
        </w:rPr>
        <w:t xml:space="preserve">”</w:t>
      </w:r>
      <w:r>
        <w:rPr>
          <w:rFonts w:ascii="DejaVu Serif" w:hAnsi="DejaVu Serif" w:eastAsia="Noto Serif CJK SC"/>
          <w:color w:val="000000"/>
          <w:sz w:val="34"/>
        </w:rPr>
        <w:t xml:space="preserve"> </w:t>
      </w:r>
      <w:r>
        <w:rPr>
          <w:rFonts w:ascii="DejaVu Serif" w:hAnsi="DejaVu Serif" w:eastAsia="Noto Serif CJK SC"/>
          <w:color w:val="000000"/>
          <w:sz w:val="34"/>
        </w:rPr>
        <w:t xml:space="preserve">chapter of</w:t>
      </w:r>
      <w:r>
        <w:rPr>
          <w:rFonts w:ascii="DejaVu Serif" w:hAnsi="DejaVu Serif" w:eastAsia="Noto Serif CJK SC"/>
          <w:color w:val="000000"/>
          <w:sz w:val="34"/>
        </w:rPr>
        <w:t xml:space="preserve"> </w:t>
      </w:r>
      <w:r>
        <w:rPr>
          <w:rFonts w:ascii="DejaVu Serif" w:hAnsi="DejaVu Serif" w:eastAsia="Noto Serif CJK SC"/>
          <w:color w:val="000000"/>
          <w:sz w:val="34"/>
        </w:rPr>
        <w:t xml:space="preserve">“</w:t>
      </w:r>
      <w:r>
        <w:rPr>
          <w:rFonts w:ascii="DejaVu Serif" w:hAnsi="DejaVu Serif" w:eastAsia="Noto Serif CJK SC"/>
          <w:color w:val="000000"/>
          <w:sz w:val="34"/>
        </w:rPr>
        <w:t xml:space="preserve">Correction Bill (3),</w:t>
      </w:r>
      <w:r>
        <w:rPr>
          <w:rFonts w:ascii="DejaVu Serif" w:hAnsi="DejaVu Serif" w:eastAsia="Noto Serif CJK SC"/>
          <w:color w:val="000000"/>
          <w:sz w:val="34"/>
        </w:rPr>
        <w:t xml:space="preserve">”</w:t>
      </w:r>
      <w:r>
        <w:rPr>
          <w:rFonts w:ascii="DejaVu Serif" w:hAnsi="DejaVu Serif" w:eastAsia="Noto Serif CJK SC"/>
          <w:color w:val="000000"/>
          <w:sz w:val="34"/>
        </w:rPr>
        <w:t xml:space="preserve"> </w:t>
      </w:r>
      <w:r>
        <w:rPr>
          <w:rFonts w:ascii="DejaVu Serif" w:hAnsi="DejaVu Serif" w:eastAsia="Noto Serif CJK SC"/>
          <w:color w:val="000000"/>
          <w:sz w:val="34"/>
        </w:rPr>
        <w:t xml:space="preserve">guaranteeing individual freedom of belief, and connecting with this Charter’s principles of</w:t>
      </w:r>
      <w:r>
        <w:rPr>
          <w:rFonts w:ascii="DejaVu Serif" w:hAnsi="DejaVu Serif" w:eastAsia="Noto Serif CJK SC"/>
          <w:color w:val="000000"/>
          <w:sz w:val="34"/>
        </w:rPr>
        <w:t xml:space="preserve"> </w:t>
      </w:r>
      <w:r>
        <w:rPr>
          <w:rFonts w:ascii="DejaVu Serif" w:hAnsi="DejaVu Serif" w:eastAsia="Noto Serif CJK SC"/>
          <w:color w:val="000000"/>
          <w:sz w:val="34"/>
        </w:rPr>
        <w:t xml:space="preserve">“</w:t>
      </w:r>
      <w:r>
        <w:rPr>
          <w:rFonts w:ascii="DejaVu Serif" w:hAnsi="DejaVu Serif" w:eastAsia="Noto Serif CJK SC"/>
          <w:color w:val="000000"/>
          <w:sz w:val="34"/>
        </w:rPr>
        <w:t xml:space="preserve">right to independent decision-making</w:t>
      </w:r>
      <w:r>
        <w:rPr>
          <w:rFonts w:ascii="DejaVu Serif" w:hAnsi="DejaVu Serif" w:eastAsia="Noto Serif CJK SC"/>
          <w:color w:val="000000"/>
          <w:sz w:val="34"/>
        </w:rPr>
        <w:t xml:space="preserve">”</w:t>
      </w:r>
      <w:r>
        <w:rPr>
          <w:rFonts w:ascii="DejaVu Serif" w:hAnsi="DejaVu Serif" w:eastAsia="Noto Serif CJK SC"/>
          <w:color w:val="000000"/>
          <w:sz w:val="34"/>
        </w:rPr>
        <w:t xml:space="preserve"> </w:t>
      </w:r>
      <w:r>
        <w:rPr>
          <w:rFonts w:ascii="DejaVu Serif" w:hAnsi="DejaVu Serif" w:eastAsia="Noto Serif CJK SC"/>
          <w:color w:val="000000"/>
          <w:sz w:val="34"/>
        </w:rPr>
        <w:t xml:space="preserve">(Article 3, Item 5) and</w:t>
      </w:r>
      <w:r>
        <w:rPr>
          <w:rFonts w:ascii="DejaVu Serif" w:hAnsi="DejaVu Serif" w:eastAsia="Noto Serif CJK SC"/>
          <w:color w:val="000000"/>
          <w:sz w:val="34"/>
        </w:rPr>
        <w:t xml:space="preserve"> </w:t>
      </w:r>
      <w:r>
        <w:rPr>
          <w:rFonts w:ascii="DejaVu Serif" w:hAnsi="DejaVu Serif" w:eastAsia="Noto Serif CJK SC"/>
          <w:color w:val="000000"/>
          <w:sz w:val="34"/>
        </w:rPr>
        <w:t xml:space="preserve">“</w:t>
      </w:r>
      <w:r>
        <w:rPr>
          <w:rFonts w:ascii="DejaVu Serif" w:hAnsi="DejaVu Serif" w:eastAsia="Noto Serif CJK SC"/>
          <w:color w:val="000000"/>
          <w:sz w:val="34"/>
        </w:rPr>
        <w:t xml:space="preserve">freedom of thought</w:t>
      </w:r>
      <w:r>
        <w:rPr>
          <w:rFonts w:ascii="DejaVu Serif" w:hAnsi="DejaVu Serif" w:eastAsia="Noto Serif CJK SC"/>
          <w:color w:val="000000"/>
          <w:sz w:val="34"/>
        </w:rPr>
        <w:t xml:space="preserve">”</w:t>
      </w:r>
      <w:r>
        <w:rPr>
          <w:rFonts w:ascii="DejaVu Serif" w:hAnsi="DejaVu Serif" w:eastAsia="Noto Serif CJK SC"/>
          <w:color w:val="000000"/>
          <w:sz w:val="34"/>
        </w:rPr>
        <w:t xml:space="preserve"> </w:t>
      </w:r>
      <w:r>
        <w:rPr>
          <w:rFonts w:ascii="DejaVu Serif" w:hAnsi="DejaVu Serif" w:eastAsia="Noto Serif CJK SC"/>
          <w:color w:val="000000"/>
          <w:sz w:val="34"/>
        </w:rPr>
        <w:t xml:space="preserve">(Article 16).</w:t>
      </w:r>
    </w:p>
    <w:tbl>
      <w:tblPr>
        <w:tblStyle w:val="Table"/>
        <w:tblW w:type="pct" w:w="5009"/>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3"/>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Individuals have the right to independently choose and maintain beliefs that align with mainstream civilizational values, specifically including: (1) The right to refuse any involuntary indoctrination of beliefs (including religion, ideology, etc.); (2) Within the scope permitted by law, to deepen personal beliefs through means such as reading, exchange, and practice; (3) When personal beliefs are subject to malicious attacks or interference by others, the right to protect them through legal means (such as legal litigation, clarification in public opinion).</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establishes the right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freedom of belief</w:t>
            </w:r>
            <w:r>
              <w:rPr>
                <w:rFonts w:ascii="DejaVu Serif" w:hAnsi="DejaVu Serif" w:eastAsia="Noto Sans CJK SC"/>
                <w:color w:val="000000"/>
                <w:sz w:val="19"/>
              </w:rPr>
              <w:t xml:space="preserve">”</w:t>
            </w:r>
            <w:r>
              <w:rPr>
                <w:rFonts w:ascii="DejaVu Serif" w:hAnsi="DejaVu Serif" w:eastAsia="Noto Sans CJK SC"/>
                <w:color w:val="000000"/>
                <w:sz w:val="19"/>
              </w:rPr>
              <w:t xml:space="preserve">—resistant to indoctrination, capable of deepening, and able to safeguard rights. This represents the self-determination of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sovereign individual</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the realm of belief, forming a continuum with Article 33,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Right to Maximum Self-Determination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emphasizes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conformity with mainstream civilized values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within the scope permitted by law,</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thereby demarcating the boundaries of freedom of belief.</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33, Article 129, Article 131.</w:t>
            </w:r>
          </w:p>
        </w:tc>
      </w:tr>
    </w:tbl>
    <w:p>
      <w:pPr>
        <w:spacing w:after="120" w:line="312" w:lineRule="auto"/>
      </w:pPr>
      <w:r>
        <w:rPr>
          <w:rFonts w:ascii="DejaVu Serif" w:hAnsi="DejaVu Serif" w:eastAsia="Noto Serif CJK SC"/>
          <w:color w:val="000000"/>
          <w:sz w:val="22"/>
        </w:rPr>
        <w:pict>
          <v:rect style="width:0;height:1.5pt" o:hralign="center" o:hrstd="t" o:hr="t"/>
        </w:pict>
      </w:r>
    </w:p>
    <w:bookmarkStart w:id="192" w:name="X85cf592b8ec8ecd9fdbf955264e3a68890f593b"/>
    <w:p>
      <w:pPr>
        <w:pStyle w:val="Heading3"/>
        <w:spacing w:after="120" w:line="312" w:lineRule="auto"/>
        <w:jc w:val="left"/>
      </w:pPr>
      <w:r>
        <w:rPr>
          <w:rFonts w:ascii="DejaVu Serif" w:hAnsi="DejaVu Serif" w:eastAsia="Noto Serif CJK SC"/>
          <w:color w:val="000000"/>
          <w:sz w:val="26"/>
        </w:rPr>
        <w:t xml:space="preserve">Article 131 【The Social Support Mechanism for Individual Belief】</w:t>
      </w:r>
    </w:p>
    <w:p>
      <w:pPr>
        <w:pStyle w:val="FirstParagraph"/>
        <w:spacing w:after="120" w:line="312" w:lineRule="auto"/>
      </w:pPr>
      <w:r>
        <w:rPr>
          <w:rFonts w:ascii="DejaVu Serif" w:hAnsi="DejaVu Serif" w:eastAsia="Noto Serif CJK SC"/>
          <w:color w:val="000000"/>
          <w:sz w:val="22"/>
        </w:rPr>
        <w:t xml:space="preserve">Society shall establish a support mechanism for individual belief, specifically including: (1) Establishing non-profit belief exchange platforms to provide an equal dialogue space for different belief communities; (2) Introducing policies to encourage belief practices that align with mainstream civilized values (such as public welfare charity and cross-cultural exchange); (3) Providing legal aid and social assistance to individuals who suffer from discrimination or unfair treatment due to their beliefs.</w:t>
      </w:r>
    </w:p>
    <w:tbl>
      <w:tblPr>
        <w:tblStyle w:val="Table"/>
        <w:tblW w:type="pct" w:w="5010"/>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5"/>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Society shall establish a support mechanism for individual belief, specifically including: (1) Establishing non-profit belief exchange platforms to provide an equal dialogue space for different belief communities; (2) Introducing policies to encourage belief practices that align with mainstream civilized values (such as public welfare charity and cross-cultural exchange); (3) Providing legal aid and social assistance to individuals who suffer from discrimination or unfair treatment due to their beliefs.</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social support mechanism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—three avenues of platforms, policies, and assistance—to protect individual belief.</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In conjunction with Article 130, one addresses individual rights and the other social support, jointly safeguarding freedom of belief.</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130, Article 132, Article 137.</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92"/>
    <w:bookmarkStart w:id="193" w:name="X641a527d0a6269583a2ec29903c517e23f18620"/>
    <w:p>
      <w:pPr>
        <w:pStyle w:val="Heading3"/>
        <w:spacing w:after="120" w:line="312" w:lineRule="auto"/>
        <w:jc w:val="left"/>
      </w:pPr>
      <w:r>
        <w:rPr>
          <w:rFonts w:ascii="DejaVu Serif" w:hAnsi="DejaVu Serif" w:eastAsia="Noto Serif CJK SC"/>
          <w:color w:val="000000"/>
          <w:sz w:val="26"/>
        </w:rPr>
        <w:t xml:space="preserve">Article 132 【The Logic of Eradicating Belief Crises】</w:t>
      </w:r>
    </w:p>
    <w:p>
      <w:pPr>
        <w:pStyle w:val="FirstParagraph"/>
        <w:spacing w:after="120" w:line="312" w:lineRule="auto"/>
      </w:pPr>
      <w:r>
        <w:rPr>
          <w:rFonts w:ascii="DejaVu Serif" w:hAnsi="DejaVu Serif" w:eastAsia="Noto Serif CJK SC"/>
          <w:color w:val="000000"/>
          <w:sz w:val="22"/>
        </w:rPr>
        <w:t xml:space="preserve">The logic for eradicating belief crises mitigates the risks of belief wavering through three dimensions, ultimately ensuring the Charter’s core belief that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civilization can coexist with shadows and always lead toward light.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This specifically includes: (1) Clarifying value standards to compress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legitimacy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space for extreme philosophies: through legislation and public opinion guidance, defining the illegality and harm of extreme beliefs; (2) Improving systemic constraints to compress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survival</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space for extreme behaviors: establishing cross-departmental monitoring mechanisms to promptly intervene in illegal activities triggered by extreme beliefs; (3) Empowering individual choices to expand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support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space for positive beliefs: providing resource support for the practice of positive beliefs (such as funding, venues, promotional channels). #This clause was added pursuant to</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Correction Bill (3),</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constructing a solution for belief crises and connecting with Article 128’s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Definition of Civilizational Success,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thereby safeguarding the stability of the Charter’s core values.#</w:t>
      </w:r>
    </w:p>
    <w:tbl>
      <w:tblPr>
        <w:tblStyle w:val="Table"/>
        <w:tblW w:type="pct" w:w="5009"/>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4"/>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logic for eradicating belief crises mitigates the risks of belief wavering through three dimensions, ultimately ensuring the Charter’s core belief that</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civilization can coexist with shadows and always lead toward light.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This specifically includes: (1) Clarifying value standards to compress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legitimacy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space for extreme philosophies; (2) Improving systemic constraints to compress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survival</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space for extreme behaviors; (3) Empowering individual choices to expand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support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space for positive beliefs.</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logic for eradicating belief crises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through three dimensions—suppressing the legitimacy of extremes, suppressing the survival space of extremes, and expanding the support space of the positive.</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Civilization can coexist with shadows and always lead toward light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the spirit of this Article, demonstrating my optimism and clarity regarding civilization. To be referenced with Article 128.</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128, Article 133, Article 135.</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93"/>
    <w:bookmarkStart w:id="194" w:name="X61ce91d10448c1a83ba76fef73b9a7284ecdafe"/>
    <w:p>
      <w:pPr>
        <w:pStyle w:val="Heading3"/>
        <w:spacing w:after="120" w:line="312" w:lineRule="auto"/>
        <w:jc w:val="left"/>
      </w:pPr>
      <w:r>
        <w:rPr>
          <w:rFonts w:ascii="DejaVu Serif" w:hAnsi="DejaVu Serif" w:eastAsia="Noto Serif CJK SC"/>
          <w:color w:val="000000"/>
          <w:sz w:val="26"/>
        </w:rPr>
        <w:t xml:space="preserve">Article 133 【The Applicable Effect of the Logic of Eradicating Belief Crises】</w:t>
      </w:r>
    </w:p>
    <w:p>
      <w:pPr>
        <w:pStyle w:val="FirstParagraph"/>
        <w:spacing w:after="120" w:line="312" w:lineRule="auto"/>
      </w:pPr>
      <w:r>
        <w:rPr>
          <w:rFonts w:ascii="DejaVu Serif" w:hAnsi="DejaVu Serif" w:eastAsia="Noto Serif CJK SC"/>
          <w:color w:val="000000"/>
          <w:sz w:val="22"/>
        </w:rPr>
        <w:t xml:space="preserve">The applicability and effectiveness of this clause (Article 132) covers the following scenarios: (1) Individual level: When an individual faces wavering belief, they may seek social support based on this clause (such as belief counseling and psychological guidance); (2) Group level: When a specific group shows signs of extremist belief tendencies, relevant departments shall initiate systemic constraint mechanisms; (3) Transnational level: In international exchanges, the logic of this clause can be referenced to promote belief tolerance and cooperation among different civilizations.</w:t>
      </w:r>
    </w:p>
    <w:tbl>
      <w:tblPr>
        <w:tblStyle w:val="Table"/>
        <w:tblW w:type="pct" w:w="5008"/>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3"/>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applicability and effectiveness of this clause (Article 132) covers the following scenarios: (1) Individual level: When an individual faces wavering belief, they may seek social support based on this clause (such as belief counseling and psychological guidance); (2) Group level: When a specific group shows signs of extremist belief tendencies, relevant departments shall initiate systemic constraint mechanisms; (3) Transnational level: In international exchanges, the logic of this clause can be referenced to promote belief tolerance and cooperation among different civilizations.</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clarifies the applicability and effectiveness of Article 132, covering three levels: individual, group, and transnational.</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To be referenced with Article 134,</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Transnational Belief Cooperation,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 Article 7,</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Cosmic Citizen.</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132, Article 134.</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94"/>
    <w:bookmarkStart w:id="195" w:name="X5b5b68416fab9c59a9934a1a4964a7958131367"/>
    <w:p>
      <w:pPr>
        <w:pStyle w:val="Heading3"/>
        <w:spacing w:after="120" w:line="312" w:lineRule="auto"/>
        <w:jc w:val="left"/>
      </w:pPr>
      <w:r>
        <w:rPr>
          <w:rFonts w:ascii="DejaVu Serif" w:hAnsi="DejaVu Serif" w:eastAsia="Noto Serif CJK SC"/>
          <w:color w:val="000000"/>
          <w:sz w:val="26"/>
        </w:rPr>
        <w:t xml:space="preserve">Article 134 【The Principle of Transnational Belief Cooperation】</w:t>
      </w:r>
    </w:p>
    <w:p>
      <w:pPr>
        <w:pStyle w:val="FirstParagraph"/>
        <w:spacing w:after="120" w:line="312" w:lineRule="auto"/>
      </w:pPr>
      <w:r>
        <w:rPr>
          <w:rFonts w:ascii="DejaVu Serif" w:hAnsi="DejaVu Serif" w:eastAsia="Noto Serif CJK SC"/>
          <w:color w:val="000000"/>
          <w:sz w:val="22"/>
        </w:rPr>
        <w:t xml:space="preserve">Transnational belief cooperation shall follow the following principles, aligning with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Cosmic Citizen Concept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7):</w:t>
      </w:r>
    </w:p>
    <w:p>
      <w:pPr>
        <w:pStyle w:val="Compact"/>
        <w:numPr>
          <w:ilvl w:val="0"/>
          <w:numId w:val="1025"/>
        </w:numPr>
        <w:spacing w:after="120" w:line="312" w:lineRule="auto"/>
      </w:pPr>
      <w:r>
        <w:rPr>
          <w:rFonts w:ascii="DejaVu Serif" w:hAnsi="DejaVu Serif" w:eastAsia="Noto Serif CJK SC"/>
          <w:color w:val="000000"/>
          <w:sz w:val="22"/>
        </w:rPr>
        <w:t xml:space="preserve">Equality and Inclusivity: Respect the belief differences of different countries and civilizations, and do not impose one’s own beliefs on others; (2) Mutual Benefit and Win-Win: Use belief cooperation as a bond to promote altruistic activities such as transnational public welfare and cultural exchange; (3) Legality and Compliance: Abide by the laws and regulations of both cooperating countries and do not engage in any illegal belief activities;</w:t>
      </w:r>
    </w:p>
    <w:tbl>
      <w:tblPr>
        <w:tblStyle w:val="Table"/>
        <w:tblW w:type="pct" w:w="5008"/>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2"/>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Cross-border faith cooperation shall follow these principles, in line with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Concept of Cosmic Citizenship</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7): (1) Equality and inclusion: respect for differences in beliefs among different countries and civilizations, without imposing one’s own beliefs on others; (2) Mutual benefit and win-win outcomes: use faith cooperation as a bond to promote altruistic activities such as cross-border public welfare and cultural exchanges; (3) Legality and compliance: abide by the laws and regulations of both cooperating countries, and do not engage in any illegal religious activities.</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establishes three principles for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cross-border faith cooperation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—equality and inclusion, mutual benefit and win-win outcomes, and legality and compliance.</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explicitly references Article 7,</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Concept of Cosmic Citizenship,</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showing the global dimension of the author’s personal philosophy of life and faith. To be cross-referenced with Article 143,</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Cross-border Faith Education Cooperation.</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7, Article 133, Article 143.</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95"/>
    <w:bookmarkStart w:id="196" w:name="X1c3e0a47e7c39a58555ccb2e794de686cadd950"/>
    <w:p>
      <w:pPr>
        <w:pStyle w:val="Heading3"/>
        <w:spacing w:after="120" w:line="312" w:lineRule="auto"/>
        <w:jc w:val="left"/>
      </w:pPr>
      <w:r>
        <w:rPr>
          <w:rFonts w:ascii="DejaVu Serif" w:hAnsi="DejaVu Serif" w:eastAsia="Noto Serif CJK SC"/>
          <w:color w:val="000000"/>
          <w:sz w:val="26"/>
        </w:rPr>
        <w:t xml:space="preserve">Article 135 【Identification Standards for Extreme Beliefs】</w:t>
      </w:r>
    </w:p>
    <w:p>
      <w:pPr>
        <w:pStyle w:val="FirstParagraph"/>
        <w:spacing w:after="120" w:line="312" w:lineRule="auto"/>
      </w:pPr>
      <w:r>
        <w:rPr>
          <w:rFonts w:ascii="DejaVu Serif" w:hAnsi="DejaVu Serif" w:eastAsia="Noto Serif CJK SC"/>
          <w:color w:val="000000"/>
          <w:sz w:val="22"/>
        </w:rPr>
        <w:t xml:space="preserve">To implement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systemic constraints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2 of Article 132) and clarify the identification criteria for extreme beliefs, any of the following circumstances may be identified as extreme beliefs: (1) Advocating for the achievement of faith goals through means such as violence and discrimination; (2) Denying mainstream civilized values (such as trust, cooperation, equality) and promoting extreme egoism or hatred; (3) Restricting individual freedom (such as freedom of thought, freedom of action) and forcing others to accept the belief;</w:t>
      </w:r>
    </w:p>
    <w:tbl>
      <w:tblPr>
        <w:tblStyle w:val="Table"/>
        <w:tblW w:type="pct" w:w="5009"/>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4"/>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To implement</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systemic constraints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(Item 2 of Article 132) and clarify the identification criteria for extreme beliefs, any of the following circumstances may be identified as extreme beliefs: (1) Advocating for the achievement of faith goals through means such as violence and discrimination; (2) Denying mainstream civilized values (such as trust, cooperation, equality) and promoting extreme egoism or hatred; (3) Restricting individual freedom (such as freedom of thought, freedom of action) and forcing others to accept the belief.</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establishes three identification criteria for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extreme beliefs</w:t>
            </w:r>
            <w:r>
              <w:rPr>
                <w:rFonts w:ascii="DejaVu Serif" w:hAnsi="DejaVu Serif" w:eastAsia="Noto Sans CJK SC"/>
                <w:color w:val="000000"/>
                <w:sz w:val="19"/>
              </w:rPr>
              <w:t xml:space="preserve">”</w:t>
            </w:r>
            <w:r>
              <w:rPr>
                <w:rFonts w:ascii="DejaVu Serif" w:hAnsi="DejaVu Serif" w:eastAsia="Noto Sans CJK SC"/>
                <w:color w:val="000000"/>
                <w:sz w:val="19"/>
              </w:rPr>
              <w:t xml:space="preserve">—violence and discrimination, denial of mainstream values, and forcing others.</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These criteria are to be cross-referenced with Article 13-2 (Prohibition of Sexual Acts) and Article 144,</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Dual Iron Law of Organizational Participation,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showing the author’s clear definition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extreme.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132, Article 136, Article 13-2.</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96"/>
    <w:bookmarkStart w:id="197" w:name="Xa71195417a2ed2257abe37e7815bbf6ff0ac432"/>
    <w:p>
      <w:pPr>
        <w:pStyle w:val="Heading3"/>
        <w:spacing w:after="120" w:line="312" w:lineRule="auto"/>
        <w:jc w:val="left"/>
      </w:pPr>
      <w:r>
        <w:rPr>
          <w:rFonts w:ascii="DejaVu Serif" w:hAnsi="DejaVu Serif" w:eastAsia="Noto Serif CJK SC"/>
          <w:color w:val="000000"/>
          <w:sz w:val="26"/>
        </w:rPr>
        <w:t xml:space="preserve">Article 136 【The Process of Intervening in Extreme Beliefs】</w:t>
      </w:r>
    </w:p>
    <w:p>
      <w:pPr>
        <w:pStyle w:val="FirstParagraph"/>
        <w:spacing w:after="120" w:line="312" w:lineRule="auto"/>
      </w:pPr>
      <w:r>
        <w:rPr>
          <w:rFonts w:ascii="DejaVu Serif" w:hAnsi="DejaVu Serif" w:eastAsia="Noto Serif CJK SC"/>
          <w:color w:val="000000"/>
          <w:sz w:val="22"/>
        </w:rPr>
        <w:t xml:space="preserve">Intervention in extreme beliefs shall follow the following process to ensure procedural justice: (1) Clue discovery: obtain clues about extreme belief activities through channels such as public reports and departmental monitoring; (2) Preliminary verification: professional institutions (such as public security organs, social science research institutions) verify the authenticity of the clues; (3) Graded intervention: adopt different measures according to the degree of extremity (such as interview and education, legal sanctions); (4) Follow-up tracking: conduct long-term tracking of the intervention subjects to prevent them from falling back into extreme beliefs;</w:t>
      </w:r>
    </w:p>
    <w:tbl>
      <w:tblPr>
        <w:tblStyle w:val="Table"/>
        <w:tblW w:type="pct" w:w="5013"/>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0"/>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Intervention in extreme beliefs shall follow the following process to ensure procedural justice: (1) Clue discovery (public reports, departmental monitoring); (2) Preliminary verification (verification by professional institutions); (3) Graded intervention (adopt different measures according to the degree of extremity); (4) Follow-up tracking (long-term tracking).</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establishes the procedure for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intervention in extreme beliefs</w:t>
            </w:r>
            <w:r>
              <w:rPr>
                <w:rFonts w:ascii="DejaVu Serif" w:hAnsi="DejaVu Serif" w:eastAsia="Noto Sans CJK SC"/>
                <w:color w:val="000000"/>
                <w:sz w:val="19"/>
              </w:rPr>
              <w:t xml:space="preserve">”</w:t>
            </w:r>
            <w:r>
              <w:rPr>
                <w:rFonts w:ascii="DejaVu Serif" w:hAnsi="DejaVu Serif" w:eastAsia="Noto Sans CJK SC"/>
                <w:color w:val="000000"/>
                <w:sz w:val="19"/>
              </w:rPr>
              <w:t xml:space="preserve">—discovery, verification, graded intervention, and tracking.</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emphasizes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procedural justice,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sharing the same spirit of the rule of law as Article 68-5,</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Evidence Preservation and Procedural Justice.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135, Article 68-5.</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97"/>
    <w:bookmarkStart w:id="198" w:name="X86a5f8b200ffddb37ce7bceed0343599f813478"/>
    <w:p>
      <w:pPr>
        <w:pStyle w:val="Heading3"/>
        <w:spacing w:after="120" w:line="312" w:lineRule="auto"/>
        <w:jc w:val="left"/>
      </w:pPr>
      <w:r>
        <w:rPr>
          <w:rFonts w:ascii="DejaVu Serif" w:hAnsi="DejaVu Serif" w:eastAsia="Noto Serif CJK SC"/>
          <w:color w:val="000000"/>
          <w:sz w:val="26"/>
        </w:rPr>
        <w:t xml:space="preserve">Article 137 【The Incentive Mechanism for Positive Beliefs】</w:t>
      </w:r>
    </w:p>
    <w:p>
      <w:pPr>
        <w:pStyle w:val="FirstParagraph"/>
        <w:spacing w:after="120" w:line="312" w:lineRule="auto"/>
      </w:pPr>
      <w:r>
        <w:rPr>
          <w:rFonts w:ascii="DejaVu Serif" w:hAnsi="DejaVu Serif" w:eastAsia="Noto Serif CJK SC"/>
          <w:color w:val="000000"/>
          <w:sz w:val="22"/>
        </w:rPr>
        <w:t xml:space="preserve">To expand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positive belief support space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3 of Article 132), establish an incentive mechanism for positive beliefs: (1) For individuals who practice positive beliefs (such as long-term participation in public welfare), confer social honors (such as the title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Civilization Messenger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(2) For organizations that promote the dissemination of positive beliefs, provide policy support (such as tax reductions and exemptions, venue support); (3) Incorporate the practice of positive beliefs into personal social credit evaluation, as a reference for high-quality resources (such as employment, loans);</w:t>
      </w:r>
    </w:p>
    <w:tbl>
      <w:tblPr>
        <w:tblStyle w:val="Table"/>
        <w:tblW w:type="pct" w:w="5008"/>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3"/>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To expand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positive belief support space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(Item 3 of Article 132), establish an incentive mechanism for positive beliefs: (1) For individuals who practice positive beliefs (such as long-term participation in public welfare), confer social honors (such as the title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Civilization Messenger</w:t>
            </w:r>
            <w:r>
              <w:rPr>
                <w:rFonts w:ascii="DejaVu Serif" w:hAnsi="DejaVu Serif" w:eastAsia="Noto Sans CJK SC"/>
                <w:color w:val="000000"/>
                <w:sz w:val="19"/>
              </w:rPr>
              <w:t xml:space="preserve">”</w:t>
            </w:r>
            <w:r>
              <w:rPr>
                <w:rFonts w:ascii="DejaVu Serif" w:hAnsi="DejaVu Serif" w:eastAsia="Noto Sans CJK SC"/>
                <w:color w:val="000000"/>
                <w:sz w:val="19"/>
              </w:rPr>
              <w:t xml:space="preserve">); (2) For organizations that promote the dissemination of positive beliefs, provide policy support (such as tax reductions and exemptions, venue support); (3) Incorporate the practice of positive beliefs into personal social credit evaluation, as a reference for high-quality resources.</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positive belief incentive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mechanism through three channels—honor, support, and credit.</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To be cross-referenced with Article 131, one being a support mechanism and the other an incentive mechanism, jointly promoting positive beliefs.</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131, Article 132, Annex A.05.001 【Credit Evaluation】.</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98"/>
    <w:bookmarkStart w:id="199" w:name="X393dfc82b7e04ce6e2484af140a774e221ff780"/>
    <w:p>
      <w:pPr>
        <w:pStyle w:val="Heading3"/>
        <w:spacing w:after="120" w:line="312" w:lineRule="auto"/>
        <w:jc w:val="left"/>
      </w:pPr>
      <w:r>
        <w:rPr>
          <w:rFonts w:ascii="DejaVu Serif" w:hAnsi="DejaVu Serif" w:eastAsia="Noto Serif CJK SC"/>
          <w:color w:val="000000"/>
          <w:sz w:val="26"/>
        </w:rPr>
        <w:t xml:space="preserve">Article 138 【The Principle of Combining Belief with Commercial Activities】</w:t>
      </w:r>
    </w:p>
    <w:p>
      <w:pPr>
        <w:pStyle w:val="FirstParagraph"/>
        <w:spacing w:after="120" w:line="312" w:lineRule="auto"/>
      </w:pPr>
      <w:r>
        <w:rPr>
          <w:rFonts w:ascii="DejaVu Serif" w:hAnsi="DejaVu Serif" w:eastAsia="Noto Serif CJK SC"/>
          <w:color w:val="000000"/>
          <w:sz w:val="22"/>
        </w:rPr>
        <w:t xml:space="preserve">When faith is combined with commercial activities, the following principles must be followed to prevent the commercial abuse of faith: (1) Transparency: Clearly inform consumers of the faith elements in commercial activities, without concealment or misguidance; (2) Non-compulsory: Do not compel consumers to accept faith-related附加 conditions (such as requiring agreement with a specific faith to purchase goods); (3) Altruism: Allocate a certain percentage of commercial profits to positive faith practices (such as public welfare and charity);</w:t>
      </w:r>
    </w:p>
    <w:tbl>
      <w:tblPr>
        <w:tblStyle w:val="Table"/>
        <w:tblW w:type="pct" w:w="5009"/>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4"/>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When faith is combined with commercial activities, the following principles must be followed to prevent the commercial abuse of faith: (1) Transparency: Clearly inform consumers of the faith elements in commercial activities, without concealment or misguidance; (2) Non-compulsory: Do not compel consumers to accept faith-related附加 conditions (such as requiring agreement with a specific faith to purchase goods); (3) Altruism: Allocate a certain percentage of commercial profits to positive faith practices (such as public welfare and charity).</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【Discussion】This Article establishes the three principles for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integration of faith and commerce</w:t>
            </w:r>
            <w:r>
              <w:rPr>
                <w:rFonts w:ascii="DejaVu Serif" w:hAnsi="DejaVu Serif" w:eastAsia="Noto Sans CJK SC"/>
                <w:color w:val="000000"/>
                <w:sz w:val="19"/>
              </w:rPr>
              <w:t xml:space="preserve">”</w:t>
            </w:r>
            <w:r>
              <w:rPr>
                <w:rFonts w:ascii="DejaVu Serif" w:hAnsi="DejaVu Serif" w:eastAsia="Noto Sans CJK SC"/>
                <w:color w:val="000000"/>
                <w:sz w:val="19"/>
              </w:rPr>
              <w:t xml:space="preserve">—transparency, non-compulsory, and altruism.</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【Discussion】To be cross-referenced with Article 84 【Invited Service】 and Article 111 【Maximum Degree of Altruism】, demonstrating the ethics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conducting commercial affairs with an altruistic heart.</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111, Article 84, Article 67.</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99"/>
    <w:bookmarkStart w:id="200" w:name="X3804f41560d42a7ed18bea598144e51c8f44638"/>
    <w:p>
      <w:pPr>
        <w:pStyle w:val="Heading3"/>
        <w:spacing w:after="120" w:line="312" w:lineRule="auto"/>
        <w:jc w:val="left"/>
      </w:pPr>
      <w:r>
        <w:rPr>
          <w:rFonts w:ascii="DejaVu Serif" w:hAnsi="DejaVu Serif" w:eastAsia="Noto Serif CJK SC"/>
          <w:color w:val="000000"/>
          <w:sz w:val="26"/>
        </w:rPr>
        <w:t xml:space="preserve">Article 139 【Ways to Resolve Belief Conflicts】</w:t>
      </w:r>
    </w:p>
    <w:p>
      <w:pPr>
        <w:pStyle w:val="FirstParagraph"/>
        <w:spacing w:after="120" w:line="312" w:lineRule="auto"/>
      </w:pPr>
      <w:r>
        <w:rPr>
          <w:rFonts w:ascii="DejaVu Serif" w:hAnsi="DejaVu Serif" w:eastAsia="Noto Serif CJK SC"/>
          <w:color w:val="000000"/>
          <w:sz w:val="22"/>
        </w:rPr>
        <w:t xml:space="preserve">When conflicts arise among different faith groups, the following methods should be used for resolution to prevent escalation: (1) Priority of negotiation: Encourage conflicting parties to reach consensus through equal dialogue; (2) Third-party mediation: Involve neutral institutions (such as non-profit mediation organizations) to mediate; (3) Legal adjudication: When negotiation and mediation fail, resolve the conflict through legal means;</w:t>
      </w:r>
    </w:p>
    <w:tbl>
      <w:tblPr>
        <w:tblStyle w:val="Table"/>
        <w:tblW w:type="pct" w:w="5012"/>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9"/>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When conflicts arise among different faith groups, the following methods should be used for resolution to prevent escalation: (1) Priority of negotiation: Encourage conflicting parties to reach consensus through equal dialogue; (2) Third-party mediation: Involve neutral institutions to mediate; (3) Legal adjudication: When negotiation and mediation fail, resolve the conflict through legal means.</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【Discussion】This Article establishes the resolution methods for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faith conflicts</w:t>
            </w:r>
            <w:r>
              <w:rPr>
                <w:rFonts w:ascii="DejaVu Serif" w:hAnsi="DejaVu Serif" w:eastAsia="Noto Sans CJK SC"/>
                <w:color w:val="000000"/>
                <w:sz w:val="19"/>
              </w:rPr>
              <w:t xml:space="preserve">”</w:t>
            </w:r>
            <w:r>
              <w:rPr>
                <w:rFonts w:ascii="DejaVu Serif" w:hAnsi="DejaVu Serif" w:eastAsia="Noto Sans CJK SC"/>
                <w:color w:val="000000"/>
                <w:sz w:val="19"/>
              </w:rPr>
              <w:t xml:space="preserve">—negotiation, mediation, and adjudication.</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【Discussion】To be cross-referenced with Article 35 【Equal Exchange】 and Article 117 【General Principles of Communication】, demonstrating a rational attitude toward resolving conflicts.</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35, Article 117, Article 136.</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200"/>
    <w:bookmarkStart w:id="201" w:name="article-140-lifelong-belief-education"/>
    <w:p>
      <w:pPr>
        <w:pStyle w:val="Heading3"/>
        <w:spacing w:after="120" w:line="312" w:lineRule="auto"/>
        <w:jc w:val="left"/>
      </w:pPr>
      <w:r>
        <w:rPr>
          <w:rFonts w:ascii="DejaVu Serif" w:hAnsi="DejaVu Serif" w:eastAsia="Noto Serif CJK SC"/>
          <w:color w:val="000000"/>
          <w:sz w:val="26"/>
        </w:rPr>
        <w:t xml:space="preserve">Article 140 【Lifelong Belief Education】</w:t>
      </w:r>
    </w:p>
    <w:p>
      <w:pPr>
        <w:pStyle w:val="FirstParagraph"/>
        <w:spacing w:after="120" w:line="312" w:lineRule="auto"/>
      </w:pPr>
      <w:r>
        <w:rPr>
          <w:rFonts w:ascii="DejaVu Serif" w:hAnsi="DejaVu Serif" w:eastAsia="Noto Serif CJK SC"/>
          <w:color w:val="000000"/>
          <w:sz w:val="22"/>
        </w:rPr>
        <w:t xml:space="preserve">Faith education should贯穿 an individual’s entire life, aligning with the principle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lifelong learning</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2, item 17), and specifically includes: (1) Early childhood stage: Transmit the basic faith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love and cooperation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through picture books, games, and other methods; (2) Adult stage: Provide diverse faith learning resources (such as online courses, offline seminars); (3) Elderly stage: Organize faith-sharing activities to help individuals summarize the value of their life’s faith;</w:t>
      </w:r>
    </w:p>
    <w:tbl>
      <w:tblPr>
        <w:tblStyle w:val="Table"/>
        <w:tblW w:type="pct" w:w="5011"/>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6"/>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Faith education should贯穿 an individual’s entire life, aligning with the principle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lifelong learning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2), and specifically includes: (1) Early childhood stage: Transmit the basic faith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love and cooperation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through picture books, games, and other methods; (2) Adult stage: Provide diverse faith learning resources; (3) Elderly stage: Organize faith-sharing activities to help individuals summarize the value of their life’s faith.</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【Discussion】This Article establishes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lifelong faith education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—faith education exists in all stages of life.</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【Discussion】To be cross-referenced with item (18) of Article 2</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Lifelong learnable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 Article 129, demonstrating that the concept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lifelong learning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extends from knowledge to faith.</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2, Article 129, Article 141.</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201"/>
    <w:bookmarkStart w:id="202" w:name="X56da0c502464850757e02d31aa0565cd8c96efe"/>
    <w:p>
      <w:pPr>
        <w:pStyle w:val="Heading3"/>
        <w:spacing w:after="120" w:line="312" w:lineRule="auto"/>
        <w:jc w:val="left"/>
      </w:pPr>
      <w:r>
        <w:rPr>
          <w:rFonts w:ascii="DejaVu Serif" w:hAnsi="DejaVu Serif" w:eastAsia="Noto Serif CJK SC"/>
          <w:color w:val="000000"/>
          <w:sz w:val="26"/>
        </w:rPr>
        <w:t xml:space="preserve">Article 141 【Combining Belief with Life Goals】</w:t>
      </w:r>
    </w:p>
    <w:p>
      <w:pPr>
        <w:pStyle w:val="FirstParagraph"/>
        <w:spacing w:after="120" w:line="312" w:lineRule="auto"/>
      </w:pPr>
      <w:r>
        <w:rPr>
          <w:rFonts w:ascii="DejaVu Serif" w:hAnsi="DejaVu Serif" w:eastAsia="Noto Serif CJK SC"/>
          <w:color w:val="000000"/>
          <w:sz w:val="22"/>
        </w:rPr>
        <w:t xml:space="preserve">Individuals should integrate personal faith with life goals to ensure consistency in life actions, specifically including: (1) When formulating life plans (such as career choices, entrepreneurial directions), incorporate altruistic, cooperative, and other concepts from faith; (2) When life goals conflict with faith, prioritize adjusting goals to align with core faith values; (3) Regularly review the alignment between life actions and faith, and promptly correct deviations;</w:t>
      </w:r>
    </w:p>
    <w:tbl>
      <w:tblPr>
        <w:tblStyle w:val="Table"/>
        <w:tblW w:type="pct" w:w="5011"/>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7"/>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Individuals should integrate personal faith with life goals to ensure consistency in life actions, specifically including: (1) When formulating life plans, incorporate altruistic, cooperative, and other concepts from faith; (2) When life goals conflict with faith, prioritize adjusting goals to align with core faith values; (3) Regularly review the alignment between life actions and faith, and promptly correct deviations.</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【Discussion】This Article establishes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integration of faith and life goals</w:t>
            </w:r>
            <w:r>
              <w:rPr>
                <w:rFonts w:ascii="DejaVu Serif" w:hAnsi="DejaVu Serif" w:eastAsia="Noto Sans CJK SC"/>
                <w:color w:val="000000"/>
                <w:sz w:val="19"/>
              </w:rPr>
              <w:t xml:space="preserve">”</w:t>
            </w:r>
            <w:r>
              <w:rPr>
                <w:rFonts w:ascii="DejaVu Serif" w:hAnsi="DejaVu Serif" w:eastAsia="Noto Sans CJK SC"/>
                <w:color w:val="000000"/>
                <w:sz w:val="19"/>
              </w:rPr>
              <w:t xml:space="preserve">—using faith to guide planning, using faith to correct goals, and using review to correct deviations.</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【Discussion】To be cross-referenced with Article 119 【Review-based】 and Article 73 【Win-Winism】, demonstrating the self-awareness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governing life with faith.</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119, Article 73, Article 128.</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202"/>
    <w:bookmarkStart w:id="203" w:name="Xfeccbe04a8f741e2f72ffda88a11cd9b404e3c4"/>
    <w:p>
      <w:pPr>
        <w:pStyle w:val="Heading3"/>
        <w:spacing w:after="120" w:line="312" w:lineRule="auto"/>
        <w:jc w:val="left"/>
      </w:pPr>
      <w:r>
        <w:rPr>
          <w:rFonts w:ascii="DejaVu Serif" w:hAnsi="DejaVu Serif" w:eastAsia="Noto Serif CJK SC"/>
          <w:color w:val="000000"/>
          <w:sz w:val="26"/>
        </w:rPr>
        <w:t xml:space="preserve">Article 142 【Society’s Investment in Belief Education】</w:t>
      </w:r>
    </w:p>
    <w:p>
      <w:pPr>
        <w:pStyle w:val="FirstParagraph"/>
        <w:spacing w:after="120" w:line="312" w:lineRule="auto"/>
      </w:pPr>
      <w:r>
        <w:rPr>
          <w:rFonts w:ascii="DejaVu Serif" w:hAnsi="DejaVu Serif" w:eastAsia="Noto Serif CJK SC"/>
          <w:color w:val="000000"/>
          <w:sz w:val="22"/>
        </w:rPr>
        <w:t xml:space="preserve">Society should increase investment in faith-based education and ensure the accessibility of educational resources: (1) Government level: Incorporate faith-based education funding into the fiscal budget to support schools and communities in conducting faith-based educational activities; (2) Enterprise level: Encourage enterprises to participate in faith-based education public welfare projects (such as sponsoring faith exchange activities); (3) Individual level: Advocate for voluntary individual donations to support the development of positive faith-based education.</w:t>
      </w:r>
    </w:p>
    <w:tbl>
      <w:tblPr>
        <w:tblStyle w:val="Table"/>
        <w:tblW w:type="pct" w:w="5011"/>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7"/>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Society should increase investment in faith-based education and ensure the accessibility of educational resources: (1) Government level: Incorporate faith-based education funding into the fiscal budget; (2) Enterprise level: Encourage enterprises to participate in faith-based education public welfare projects; (3) Individual level: Advocate for voluntary individual donations to support the development of positive faith-based education.</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【Discussion】It is stated herein: This Article establishes the three tiers (government, enterprise, individual)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investment in faith-based education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to protect the accessibility of educational resources.</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【Discussion】To be cross-referenced with Article 140, Article 131.</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140, Article 131, Article 140.</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203"/>
    <w:bookmarkStart w:id="204" w:name="Xb0be2e8e8f0730c44425da67c0cdcd7d3e1a5a5"/>
    <w:p>
      <w:pPr>
        <w:pStyle w:val="Heading3"/>
        <w:spacing w:after="120" w:line="312" w:lineRule="auto"/>
        <w:jc w:val="left"/>
      </w:pPr>
      <w:r>
        <w:rPr>
          <w:rFonts w:ascii="DejaVu Serif" w:hAnsi="DejaVu Serif" w:eastAsia="Noto Serif CJK SC"/>
          <w:color w:val="000000"/>
          <w:sz w:val="26"/>
        </w:rPr>
        <w:t xml:space="preserve">Article 143A 【Personal Decision Boundaries and Matters of Proactive Help】</w:t>
      </w:r>
    </w:p>
    <w:p>
      <w:pPr>
        <w:pStyle w:val="FirstParagraph"/>
        <w:spacing w:after="120" w:line="312" w:lineRule="auto"/>
      </w:pPr>
      <w:r>
        <w:rPr>
          <w:rFonts w:ascii="DejaVu Serif" w:hAnsi="DejaVu Serif" w:eastAsia="Noto Serif CJK SC"/>
          <w:color w:val="000000"/>
          <w:sz w:val="22"/>
        </w:rPr>
        <w:t xml:space="preserve">〔This article was added by the Fifth Correction Bill to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Charter of Life Action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(Supplementary Amendment Regarding Matters Related to Decision-Making on the Boundaries of Assistance) on October 20, 2025〕</w:t>
      </w:r>
    </w:p>
    <w:p>
      <w:pPr>
        <w:pStyle w:val="BodyText"/>
        <w:spacing w:after="120" w:line="312" w:lineRule="auto"/>
      </w:pPr>
      <w:r>
        <w:rPr>
          <w:rFonts w:ascii="DejaVu Serif" w:hAnsi="DejaVu Serif" w:eastAsia="Noto Serif CJK SC"/>
          <w:color w:val="000000"/>
          <w:sz w:val="22"/>
        </w:rPr>
        <w:t xml:space="preserve">This article is formulated in accordance with Article 30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Charter of Life Action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[Principle that no one other than oneself has the right to make any decisions on one’s behalf], Article 33 [Principle of Personal Values First], and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continuous altruistic mindset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principle in Article 1-2 [Highest Programmatic Ideal]. It clarifies the boundaries of personal decision-making intervention and the applicable circumstances for active assistance, adhering to the core position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reducing external interference and making autonomous decisions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while practicing the action logic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altruistic and controllable,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ensuring complete alignment with the spirit of the original Charter articles.</w:t>
      </w:r>
    </w:p>
    <w:p>
      <w:pPr>
        <w:numPr>
          <w:ilvl w:val="0"/>
          <w:numId w:val="1026"/>
        </w:numPr>
        <w:spacing w:after="120" w:line="312" w:lineRule="auto"/>
      </w:pPr>
      <w:r>
        <w:rPr>
          <w:rFonts w:ascii="DejaVu Serif" w:hAnsi="DejaVu Serif" w:eastAsia="Noto Serif CJK SC"/>
          <w:color w:val="000000"/>
          <w:sz w:val="22"/>
        </w:rPr>
        <w:t xml:space="preserve">Scope of Matters Where the Individual Does Not Intervene in Decisions The individual shall, in principle, not proactively intervene or assume decision-making responsibility for the following three categories of matters, unless they meet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applicable circumstances for active assistance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stipulated in this article, and this boundary shall not be changed by any external intervention against the individual’s will:</w:t>
      </w:r>
    </w:p>
    <w:p>
      <w:pPr>
        <w:numPr>
          <w:ilvl w:val="0"/>
          <w:numId w:val="1026"/>
        </w:numPr>
        <w:spacing w:after="120" w:line="312" w:lineRule="auto"/>
      </w:pPr>
      <w:r>
        <w:rPr>
          <w:rFonts w:ascii="DejaVu Serif" w:hAnsi="DejaVu Serif" w:eastAsia="Noto Serif CJK SC"/>
          <w:color w:val="000000"/>
          <w:sz w:val="22"/>
        </w:rPr>
        <w:t xml:space="preserve">Broadly Irrelevant Matters: For matters of which the individual is unaware, has not participated in, and has no legal association (including rights and obligations) or factual association (including interest involvement, behavioral involvement), the individual shall not proactively intervene in decisions. This provision aims to realize the original Charter’s intention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reducing the influence of the external world on the course of life to the minimum necessary extent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(found in Articles 1 and 25) and to prevent unrelated matters from occupying core energy.</w:t>
      </w:r>
    </w:p>
    <w:p>
      <w:pPr>
        <w:numPr>
          <w:ilvl w:val="0"/>
          <w:numId w:val="1026"/>
        </w:numPr>
        <w:spacing w:after="120" w:line="312" w:lineRule="auto"/>
      </w:pPr>
      <w:r>
        <w:rPr>
          <w:rFonts w:ascii="DejaVu Serif" w:hAnsi="DejaVu Serif" w:eastAsia="Noto Serif CJK SC"/>
          <w:color w:val="000000"/>
          <w:sz w:val="22"/>
        </w:rPr>
        <w:t xml:space="preserve">Matters Without Mandatory Legal Assistance Obligations: Although the individual may be aware or have participated, but based on current and effective laws (including criminal law, civil law, administrative law and corresponding judicial interpretations), there is no</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shall</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must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obligation to perform assistance or help, and the individual has clearly expressed unwillingness to provide assistance, the individual shall not passively assume decision-making or action responsibility. This provision strictly adheres to the original Charter’s principle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using the mandatory provisions of criminal law and corresponding judicial interpretations as the bottom line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(found in Articles 1 and 64) and rejects the imposition of obligations without legal basis.</w:t>
      </w:r>
    </w:p>
    <w:p>
      <w:pPr>
        <w:pStyle w:val="FirstParagraph"/>
        <w:spacing w:after="120" w:line="312" w:lineRule="auto"/>
      </w:pPr>
      <w:r>
        <w:rPr>
          <w:rFonts w:ascii="DejaVu Serif" w:hAnsi="DejaVu Serif" w:eastAsia="Noto Serif CJK SC"/>
          <w:color w:val="000000"/>
          <w:sz w:val="22"/>
        </w:rPr>
        <w:t xml:space="preserve">⑶ Matters without dual legal and moral obligations: For matters that involve neither a legally mandatory requirement for assistance nor a clear constraint of social public morality (excluding subjectively presumed moral expectations) or a moral obligation stipulated in the original Charter, and where the individual explicitly declines to provide assistance, no intervention in the decision-making shall be enforced. This provision aligns with the position in Article 33 of the original Charter,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Principle of Personal Values First,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which states that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no one other than the individual themselves has the right to preach to them on how they should act,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thereby safeguarding the autonomy of decision-making from unnecessary moral coercion.</w:t>
      </w:r>
    </w:p>
    <w:p>
      <w:pPr>
        <w:numPr>
          <w:ilvl w:val="0"/>
          <w:numId w:val="1027"/>
        </w:numPr>
        <w:spacing w:after="120" w:line="312" w:lineRule="auto"/>
      </w:pPr>
      <w:r>
        <w:rPr>
          <w:rFonts w:ascii="DejaVu Serif" w:hAnsi="DejaVu Serif" w:eastAsia="Noto Serif CJK SC"/>
          <w:color w:val="000000"/>
          <w:sz w:val="22"/>
        </w:rPr>
        <w:t xml:space="preserve">Applicable Circumstances for Proactive Assistance Regarding the matters listed in paragraph 1, items 2 and 3 of this Article, if all of the following conditions are simultaneously met, I may proactively provide assistance; if only some are met, assistance actions shall not be initiated. The specific circumstances are as follows:</w:t>
      </w:r>
    </w:p>
    <w:p>
      <w:pPr>
        <w:numPr>
          <w:ilvl w:val="0"/>
          <w:numId w:val="1027"/>
        </w:numPr>
        <w:spacing w:after="120" w:line="312" w:lineRule="auto"/>
      </w:pPr>
      <w:r>
        <w:rPr>
          <w:rFonts w:ascii="DejaVu Serif" w:hAnsi="DejaVu Serif" w:eastAsia="Noto Serif CJK SC"/>
          <w:color w:val="000000"/>
          <w:sz w:val="22"/>
        </w:rPr>
        <w:t xml:space="preserve">Scope of Assistance Recipients: The assistance recipient must be a member of groups such as girls, women, children, patients, or the physically weak who are in genuine need of assistance. Furthermore, through objective judgment (taking into account their actual situation and ability to access resources), they must belong to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善意非优势性群体</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(Benevolent Non-Dominant Group)—that is, this group has no intention of provocative behavior or of seeking improper benefits through assistance (such as demanding additional property or making unreasonable claims to rights), while simultaneously having a genuine need for assistance (such as being unable to independently resolve issues related to survival or health), ensuring that the assistance action aligns with the core orientation of the original Charter’s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continuous altruistic mindset.</w:t>
      </w:r>
      <w:r>
        <w:rPr>
          <w:rFonts w:ascii="DejaVu Serif" w:hAnsi="DejaVu Serif" w:eastAsia="Noto Serif CJK SC"/>
          <w:color w:val="000000"/>
          <w:sz w:val="22"/>
        </w:rPr>
        <w:t xml:space="preserve">”</w:t>
      </w:r>
    </w:p>
    <w:p>
      <w:pPr>
        <w:pStyle w:val="FirstParagraph"/>
        <w:spacing w:after="120" w:line="312" w:lineRule="auto"/>
      </w:pPr>
      <w:r>
        <w:rPr>
          <w:rFonts w:ascii="DejaVu Serif" w:hAnsi="DejaVu Serif" w:eastAsia="Noto Serif CJK SC"/>
          <w:color w:val="000000"/>
          <w:sz w:val="22"/>
        </w:rPr>
        <w:t xml:space="preserve">An assessment (based on their actual circumstances and ability to access resources) that they belong to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善意非优势性群体</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(the善意 non-advantaged group)—that is, the group has no provocative conduct and no intention of seeking improper benefits through assistance (such as demanding additional property or making unreasonable claims to rights), while having a genuine need for assistance (such as being unable to independently resolve issues related to survival or health)—ensures that the assistance aligns with the core orientation of the original Charter’s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持续利他心态</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(continuous altruistic mindset).</w:t>
      </w:r>
    </w:p>
    <w:p>
      <w:pPr>
        <w:pStyle w:val="Compact"/>
        <w:numPr>
          <w:ilvl w:val="0"/>
          <w:numId w:val="1028"/>
        </w:numPr>
        <w:spacing w:after="120" w:line="312" w:lineRule="auto"/>
      </w:pPr>
      <w:r>
        <w:rPr>
          <w:rFonts w:ascii="DejaVu Serif" w:hAnsi="DejaVu Serif" w:eastAsia="Noto Serif CJK SC"/>
          <w:color w:val="000000"/>
          <w:sz w:val="22"/>
        </w:rPr>
        <w:t xml:space="preserve">Request Methods and Exceptions:</w:t>
      </w:r>
    </w:p>
    <w:p>
      <w:pPr>
        <w:pStyle w:val="FirstParagraph"/>
        <w:spacing w:after="120" w:line="312" w:lineRule="auto"/>
      </w:pPr>
      <w:r>
        <w:rPr>
          <w:rFonts w:ascii="DejaVu Serif" w:hAnsi="DejaVu Serif" w:eastAsia="Noto Serif CJK SC"/>
          <w:color w:val="000000"/>
          <w:sz w:val="22"/>
        </w:rPr>
        <w:t xml:space="preserve">① Regular Circumstances: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non-dominant group of good faith</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or their interested parties such as relatives, guardians, etc., must make a request for assistance in a manner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non-provocative behavior and polite expression,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there shall be no threatening, coercive, insulting, or disrespectful words or actions. This requirement echoes the principle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respect as the basis of communication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Article 118 of the original Charter,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On the Meaning of Equal Respect for Others.</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② Exceptional Circumstances: In cases of emergencies, such as sudden illness (e.g., heart attack) or accidental injury (e.g., injuries from a traffic accident), where a member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善意非优势性群体</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(Benevolent Non-Dominant Group) is unable to make a voluntary declaration of intent (e.g., due to unconsciousness or loss of speech), necessary assistance may be initiated based on objective judgment without the need for an active request from the individual themselves or their interested parties. This exception continues the operational logic of the original Charter regarding</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flexible adaptation in extreme circumstances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scattered in Articles 1 and 64), balancing altruism with practical reasonableness.</w:t>
      </w:r>
    </w:p>
    <w:p>
      <w:pPr>
        <w:pStyle w:val="Compact"/>
        <w:numPr>
          <w:ilvl w:val="0"/>
          <w:numId w:val="1029"/>
        </w:numPr>
        <w:spacing w:after="120" w:line="312" w:lineRule="auto"/>
      </w:pPr>
      <w:r>
        <w:rPr>
          <w:rFonts w:ascii="DejaVu Serif" w:hAnsi="DejaVu Serif" w:eastAsia="Noto Serif CJK SC"/>
          <w:color w:val="000000"/>
          <w:sz w:val="22"/>
        </w:rPr>
        <w:t xml:space="preserve">Boundaries of Assistance Content: The assistance action must simultaneously meet three requirements:</w:t>
      </w:r>
    </w:p>
    <w:p>
      <w:pPr>
        <w:pStyle w:val="FirstParagraph"/>
        <w:spacing w:after="120" w:line="312" w:lineRule="auto"/>
      </w:pPr>
      <w:r>
        <w:rPr>
          <w:rFonts w:ascii="DejaVu Serif" w:hAnsi="DejaVu Serif" w:eastAsia="Noto Serif CJK SC"/>
          <w:color w:val="000000"/>
          <w:sz w:val="22"/>
        </w:rPr>
        <w:t xml:space="preserve">① Legality: It must not violate mandatory provisions of current law (e.g., it must not assist in evading legal liability);</w:t>
      </w:r>
    </w:p>
    <w:p>
      <w:pPr>
        <w:pStyle w:val="BodyText"/>
        <w:spacing w:after="120" w:line="312" w:lineRule="auto"/>
      </w:pPr>
      <w:r>
        <w:rPr>
          <w:rFonts w:ascii="DejaVu Serif" w:hAnsi="DejaVu Serif" w:eastAsia="Noto Serif CJK SC"/>
          <w:color w:val="000000"/>
          <w:sz w:val="22"/>
        </w:rPr>
        <w:t xml:space="preserve">② Protection of Interests: Must not result in the impairment of the individual’s core interests (including the right to life, the right to personal liberty, the right to strategic autonomous decision-making, and major property rights);</w:t>
      </w:r>
    </w:p>
    <w:p>
      <w:pPr>
        <w:pStyle w:val="BodyText"/>
        <w:spacing w:after="120" w:line="312" w:lineRule="auto"/>
      </w:pPr>
      <w:r>
        <w:rPr>
          <w:rFonts w:ascii="DejaVu Serif" w:hAnsi="DejaVu Serif" w:eastAsia="Noto Serif CJK SC"/>
          <w:color w:val="000000"/>
          <w:sz w:val="22"/>
        </w:rPr>
        <w:t xml:space="preserve">③ Moderation: Strictly adhering to the action logic of the original Charter’s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minimum viable contribution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scattered in Article 1 and Article 8), only investing the necessary time, energy, or resources, and avoiding excessive assistance that would impede the advancement of one’s own life goals (such as global residency, private equity fund establishment).</w:t>
      </w:r>
    </w:p>
    <w:tbl>
      <w:tblPr>
        <w:tblStyle w:val="Table"/>
        <w:tblW w:type="pct" w:w="5003"/>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4"/>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This provision is formulated in accordance with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Principle that No One Can Make Decisions for Another Person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Article 30 of the Charter of Life Action,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Principle of Personal Values First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Article 33, and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continuous altruistic mindset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principle in Article 1-2 [Highest Programmatic Ideals], clarifying the boundaries of personal decision-making intervention and the applicable situations for proactive assistance… ㈠ Scope of matters where personal non-intervention in decision-making is applicable: The person shall not proactively intervene or assume decision-making responsibility for the following three categories of matters, unless they meet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applicable situations for proactive assistance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stipulated in this provision, and this boundary shall not be changed by any external intervention not in accordance with the person’s will: ⑴ Matters of broad irrelevance… ⑵ Matters without statutory mandatory assistance obligations… ⑶ Matters without both legal and moral obligations… ㈡ Applicable situations for proactive assistance: For matters listed in subsection 1, items 2 and 3 of this article, if all of the following conditions are simultaneously met, the person may proactively provide assistance; if only some are met, assistance behavior shall not be initiated: ⑴ Assistance recipient limited (must be groups such as girls, women, children, patients, or the weak who genuinely need assistance, and belong to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benevolent non-dominant groups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⑵ Request method and exceptions… ⑶ Boundaries of assistance content (legality, protection of interests, appropriateness)…</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【Commentary】 states: This Article serves as the general principle for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Boundaries of Assistance.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difficulty in its legislation lies in reconciling two opposing yet concurrent principles: one is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autonomy,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established in Article 1 of the Charter, which mandates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reducing external influence on the course of life to the minimum necessary extent,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Article 30, which states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no one other than oneself has the authority to make decisions on behalf of oneself,</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 in Article 33, which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first principle of personal values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the other is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altruism,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established in Article 1-2, which mandates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maintaining a continuous altruistic mindset.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If only autonomy is pursued, it leads to self-isolation; if only altruism is pursued, it results in excess. The establishment of this Article precisely sets boundaries for these two principles: using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boundary of non-interference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to protect autonomy and using</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circumstances for assistance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to extend altruism. Therefore, this Article explicitly cites its basis in three provisions (Article 30, Article 33, and Article 1-2) and employs the legislative method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both upholding… and practicing…,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which is not mere formality.</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states: The three categories in Paragraph 1 follow a logical order from external to internal: for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broadly irrelevant matters,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boundary is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relevance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(no legal relevance, no factual relevance); for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matters without mandatory legal assistance obligations,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boundary is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legal obligation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(no</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shall</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must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assistance obligations, and the person has explicitly expressed unwillingness to provide help); for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matters without both legal and moral obligations,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boundary is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dual tier of law and morality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(regardless of mandatory legal requirements, or clear social moral constraints or moral obligations stipulated in the Charter). All three share the prerequisite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explicit expression of unwillingness to help,</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thus it is not implied consent but explicit refusal that is respected. These three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non-interference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provisions are not negative evasions but the implementation of three meanings: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avoiding unrelated matters from occupying core energy,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rejecting the imposition of obligations without legal basis,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protecting decision-making autonomy from unnecessary moral coercion.</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color w:val="000000"/>
                <w:sz w:val="19"/>
              </w:rPr>
              <w:t xml:space="preserve">The three conditions in Paragraph 2 operate on the principle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all conditions must be met for activation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Condition 1 is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person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(must belong to a non-dominant group with good intentions, no provocation, no intention of seeking improper benefits through assistance, and has a genuine need for help); Condition 2 is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request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(must be made in a non-provocative and polite manner, with exceptions for emergency situations where objective judgment may initiate necessary help); Condition 3 is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boundary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(legality, interest protection, and appropriateness must all be satisfied simultaneously). The statement,</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If all the following conditions are met simultaneously, one may proactively provide assistance; if only some are met, assistance shall not be initiated,</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explicitly establishes a</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cumulative requirement,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thus the absence of even one condition makes it impermissible. Among these,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appropriateness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criterion is based 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minimum feasible contribution,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clarifying that assistance must</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only invest necessary time, energy, or resources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 must not hinder the pursuit of one’s life goals (such as global travel, establishing a private equity fund) due to excessive assistance. This is the correct interpretation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altruistic yet controllable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altruism that does not harm one’s foundation is sustainable altruism.</w:t>
            </w:r>
          </w:p>
        </w:tc>
      </w:tr>
      <w:tr>
        <w:tc>
          <w:tcPr/>
          <w:p>
            <w:pPr>
              <w:pStyle w:val="Compact"/>
              <w:spacing w:after="40" w:line="288" w:lineRule="auto"/>
              <w:jc w:val="left"/>
            </w:pPr>
            <w:r>
              <w:rPr>
                <w:rFonts w:ascii="DejaVu Serif" w:hAnsi="DejaVu Serif" w:eastAsia="Noto Sans CJK SC"/>
                <w:b/>
                <w:bCs/>
                <w:color w:val="C00000"/>
                <w:sz w:val="19"/>
              </w:rPr>
              <w:t xml:space="preserve">【Question】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assistance in Paragraph 2 explicitly targets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matters listed in Subparagraphs 2 and 3 of Paragraph 1 of this Article,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but not Subparagraph 1</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broadly irrelevant matters.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What is the meaning of this?</w:t>
            </w:r>
            <w:r>
              <w:rPr>
                <w:rFonts w:ascii="DejaVu Serif" w:hAnsi="DejaVu Serif" w:eastAsia="Noto Sans CJK SC"/>
                <w:color w:val="000000"/>
                <w:sz w:val="19"/>
              </w:rPr>
              <w:t xml:space="preserve"> </w:t>
            </w:r>
            <w:r>
              <w:rPr>
                <w:rFonts w:ascii="DejaVu Serif" w:hAnsi="DejaVu Serif" w:eastAsia="Noto Sans CJK SC"/>
                <w:b/>
                <w:bCs/>
                <w:color w:val="C00000"/>
                <w:sz w:val="19"/>
              </w:rPr>
              <w:t xml:space="preserve">【Answer】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This is the critical boundary of this Article. For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broadly irrelevant matters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Subparagraph 1, since the person is neither informed nor involved, and has no legal or factual connection, even if requested by a non-dominant group with good intentions, it does not fall within the scope of assistance under this Article—otherwise, the boundary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irrelevance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would be completely nullified, contradicting the principle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reducing external influence to the minimum necessary extent.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Therefore, the assistance under this Article requires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being informed or having previously participated</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its prerequisite, which is the first point that those interpreting this Article must note.</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 Article 1-2, Article 8, Article 25, Article 30, Article 33, Article 64, Article 118 of the Charter; Annex B.01.001</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Exemption List for the Principle of Non-Assistance Unless Necessary of the Charter of Life Action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Annex C.01.001.</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204"/>
    <w:bookmarkStart w:id="205" w:name="X1669b1dbc222451fad9e6dee1fcc73ce32350af"/>
    <w:p>
      <w:pPr>
        <w:pStyle w:val="Heading3"/>
        <w:spacing w:after="120" w:line="312" w:lineRule="auto"/>
        <w:jc w:val="left"/>
      </w:pPr>
      <w:r>
        <w:rPr>
          <w:rFonts w:ascii="DejaVu Serif" w:hAnsi="DejaVu Serif" w:eastAsia="Noto Serif CJK SC"/>
          <w:color w:val="000000"/>
          <w:sz w:val="26"/>
        </w:rPr>
        <w:t xml:space="preserve">Article 143B 【Cooperation in Transnational Belief Education】</w:t>
      </w:r>
    </w:p>
    <w:p>
      <w:pPr>
        <w:pStyle w:val="FirstParagraph"/>
        <w:spacing w:after="120" w:line="312" w:lineRule="auto"/>
      </w:pPr>
      <w:r>
        <w:rPr>
          <w:rFonts w:ascii="DejaVu Serif" w:hAnsi="DejaVu Serif" w:eastAsia="Noto Serif CJK SC"/>
          <w:color w:val="000000"/>
          <w:sz w:val="22"/>
        </w:rPr>
        <w:t xml:space="preserve">〔This Article is an original provision belonging to the Faith Series (Articles 128 to 145)〕To promote the construction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Cosmic Civilization Community of Shared Future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1-2) and strengthen transnational faith education cooperation: (1) Establish a transnational faith education alliance to share educational resources (such as curriculum systems, expert resources); (2) Organize transnational faith education exchange activities (such as student exchanges, academic seminars); (3) Jointly develop transnational faith education standards to ensure educational quality is consistent with civilizational value orientation.</w:t>
      </w:r>
    </w:p>
    <w:tbl>
      <w:tblPr>
        <w:tblStyle w:val="Table"/>
        <w:tblW w:type="pct" w:w="5013"/>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0"/>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To promote the construction of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Cosmic Civilization Community of Shared Future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1-2) and strengthen transnational faith education cooperation: (1) Establish a transnational faith education alliance to share educational resources; (2) Organize transnational faith education exchange activities; (3) Jointly develop transnational faith education standards.</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【Discussion】It is stated in this Article to establish the law for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transnational faith education cooperation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—forming alliances, conducting exchanges, and establishing standards.</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【Discussion】This Article explicitly cites Article 1-2 and cross-references with Article 134 【Transnational Faith Cooperation】, together constructing the vision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transnational and cross-civilizational</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faith for this individual’s life.</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1-2, Article 134, Article 141.</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205"/>
    <w:bookmarkStart w:id="206" w:name="X6bc1e6fd10a14cbe55ce571e1ac4083b92544da"/>
    <w:p>
      <w:pPr>
        <w:pStyle w:val="Heading3"/>
        <w:spacing w:after="120" w:line="312" w:lineRule="auto"/>
        <w:jc w:val="left"/>
      </w:pPr>
      <w:r>
        <w:rPr>
          <w:rFonts w:ascii="DejaVu Serif" w:hAnsi="DejaVu Serif" w:eastAsia="Noto Serif CJK SC"/>
          <w:color w:val="000000"/>
          <w:sz w:val="26"/>
        </w:rPr>
        <w:t xml:space="preserve">Article 144A 【The Binary Iron Rule of Organizational Participation】</w:t>
      </w:r>
    </w:p>
    <w:p>
      <w:pPr>
        <w:pStyle w:val="FirstParagraph"/>
        <w:spacing w:after="120" w:line="312" w:lineRule="auto"/>
      </w:pPr>
      <w:r>
        <w:rPr>
          <w:rFonts w:ascii="DejaVu Serif" w:hAnsi="DejaVu Serif" w:eastAsia="Noto Serif CJK SC"/>
          <w:color w:val="000000"/>
          <w:sz w:val="22"/>
        </w:rPr>
        <w:t xml:space="preserve">〔This Article was added as a new principle provision on August 22, 2026, and came into effect upon being signed by the Charter-Maker〕</w:t>
      </w:r>
    </w:p>
    <w:p>
      <w:pPr>
        <w:pStyle w:val="BodyText"/>
        <w:spacing w:after="120" w:line="312" w:lineRule="auto"/>
      </w:pPr>
      <w:r>
        <w:rPr>
          <w:rFonts w:ascii="DejaVu Serif" w:hAnsi="DejaVu Serif" w:eastAsia="Noto Serif CJK SC"/>
          <w:color w:val="000000"/>
          <w:sz w:val="22"/>
        </w:rPr>
        <w:t xml:space="preserve">My participation in any organization is limited to one of the following two scenarios:</w:t>
      </w:r>
    </w:p>
    <w:p>
      <w:pPr>
        <w:numPr>
          <w:ilvl w:val="0"/>
          <w:numId w:val="1030"/>
        </w:numPr>
        <w:spacing w:after="120" w:line="312" w:lineRule="auto"/>
      </w:pPr>
      <w:r>
        <w:rPr>
          <w:rFonts w:ascii="DejaVu Serif" w:hAnsi="DejaVu Serif" w:eastAsia="Noto Serif CJK SC"/>
          <w:color w:val="000000"/>
          <w:sz w:val="22"/>
        </w:rPr>
        <w:t xml:space="preserve">An organization established by myself—this organization is personally created by me, and its members (personnel) are personally selected and determined by me;</w:t>
      </w:r>
    </w:p>
    <w:p>
      <w:pPr>
        <w:numPr>
          <w:ilvl w:val="0"/>
          <w:numId w:val="1030"/>
        </w:numPr>
        <w:spacing w:after="120" w:line="312" w:lineRule="auto"/>
      </w:pPr>
      <w:r>
        <w:rPr>
          <w:rFonts w:ascii="DejaVu Serif" w:hAnsi="DejaVu Serif" w:eastAsia="Noto Serif CJK SC"/>
          <w:color w:val="000000"/>
          <w:sz w:val="22"/>
        </w:rPr>
        <w:t xml:space="preserve">An organization that I voluntarily join based on a specific purpose—I fully endorse the organization’s purpose and core members, and I join voluntarily based on a specific, clear objective.</w:t>
      </w:r>
    </w:p>
    <w:p>
      <w:pPr>
        <w:pStyle w:val="FirstParagraph"/>
        <w:spacing w:after="120" w:line="312" w:lineRule="auto"/>
      </w:pPr>
      <w:r>
        <w:rPr>
          <w:rFonts w:ascii="DejaVu Serif" w:hAnsi="DejaVu Serif" w:eastAsia="Noto Serif CJK SC"/>
          <w:color w:val="000000"/>
          <w:sz w:val="22"/>
        </w:rPr>
        <w:t xml:space="preserve">Except for the two circumstances listed in the preceding two paragraphs, I do not participate in any organization; in particular, I do not accept participation in rigid institutional organizations such as, but not limited to, civil servants, regardless of any accompanying benefits, status, or treatment.</w:t>
      </w:r>
    </w:p>
    <w:p>
      <w:pPr>
        <w:pStyle w:val="BodyText"/>
        <w:spacing w:after="120" w:line="312" w:lineRule="auto"/>
      </w:pPr>
      <w:r>
        <w:rPr>
          <w:rFonts w:ascii="DejaVu Serif" w:hAnsi="DejaVu Serif" w:eastAsia="Noto Serif CJK SC"/>
          <w:color w:val="000000"/>
          <w:sz w:val="22"/>
        </w:rPr>
        <w:t xml:space="preserve">For the detailed circumstances, determination standards, exceptions, and implementation of this Article, see Annex A.08.001</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Implementation Rules for the Binary Iron Law of Organizational Participation.</w:t>
      </w:r>
      <w:r>
        <w:rPr>
          <w:rFonts w:ascii="DejaVu Serif" w:hAnsi="DejaVu Serif" w:eastAsia="Noto Serif CJK SC"/>
          <w:color w:val="000000"/>
          <w:sz w:val="22"/>
        </w:rPr>
        <w:t xml:space="preserve">”</w:t>
      </w:r>
    </w:p>
    <w:tbl>
      <w:tblPr>
        <w:tblStyle w:val="Table"/>
        <w:tblW w:type="pct" w:w="5002"/>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3"/>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144 【Dual Iron Law of Organizational Participation】: My participation in any organization is limited to one of the following two situations: (1) Organizations established by myself—this organization is personally created by me, and its members (personnel) are personally selected and determined by me; (2) Organizations I voluntarily join based on specific purposes—I fully recognize the organization’s purpose and core members, and I voluntarily join based on specific, clear purposes. Except for the two situations listed in the preceding two paragraphs, I do not participate in any organization; in particular, I do not accept participation in rigid institutional organizations including but not limited to state civil servants, regardless of what benefits, status, or treatment they may entail. For detailed circumstances, determination standards, exceptions, and implementation of this Article, see Annex A.08.001</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Implementation Rules for the Dual Iron Law of Organizational Participation.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Charter-Maker: Sun Yujun Effective Date: August 22, 2026.</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Sub-commentary states: The purpose of establishing this Article has three aspects. First,</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protecting autonomy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the main Charter takes the absolute freedom and development of the sovereign individual as its philosophical foundation; any organizational participation may introduce external will, time sequence, and evaluation, therefore, anything not self-established or voluntarily joined is sufficient to shake one’s autonomy. Second,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maintaining consistency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the main Charter prohibits joining the military and war in Article 94, prohibits joining political parties in Article 95, and establishes the principle of not holding political stances in Article 96; these three are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non-participation in specific fields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this Article is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access rule for all organizational participation,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therefore it serves as the general principle for the preceding three articles. Third,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preventing circumvention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the establishment of any principle is most vulnerable to methods of evasion; using pretexts such as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taking up employment,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affiliation,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temporary transfer,</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external appointment,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one can achieve the reality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actual subordination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under the name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not wishing to join.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This Article takes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participation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its object, rather than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joining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its object, therefore any substantial participation, regardless of its name, falls within its jurisdiction. When these three aspects are combined, this Article is not a newly added clause, but in fact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organizational gate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for the entire system.</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The structure of this Article is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binary + catch-all exclusion + authorization for detailed rules,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with clear layers. (1)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self-established organization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Paragraph (1) has two requirements: first,</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established by the individual personally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and second,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its members (personnel) are personally selected and determined by the individual.</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Therefore, its identifying mark lies not in the organization’s name, but in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origin of its personnel</w:t>
            </w:r>
            <w:r>
              <w:rPr>
                <w:rFonts w:ascii="DejaVu Serif" w:hAnsi="DejaVu Serif" w:eastAsia="Noto Sans CJK SC"/>
                <w:color w:val="000000"/>
                <w:sz w:val="19"/>
              </w:rPr>
              <w:t xml:space="preserve">”</w:t>
            </w:r>
            <w:r>
              <w:rPr>
                <w:rFonts w:ascii="DejaVu Serif" w:hAnsi="DejaVu Serif" w:eastAsia="Noto Sans CJK SC"/>
                <w:color w:val="000000"/>
                <w:sz w:val="19"/>
              </w:rPr>
              <w:t xml:space="preserve">—any organization whose personnel do not come from the individual does not qualify under Paragraph (1). Annex A.08.001 establishes the standard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considering entrusted selection reviewed, signed, and approved by the individual as personal selection,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which is an extension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personal</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any entrusted selection reviewed, signed, and approved by the individual is considered personal selection; this is a feasible accommodation, yet the individual’s review and approval remain its unchanging core. (2)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voluntarily joined organization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Paragraph (2) also has two requirements: first,</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complete recognition of the organization’s purpose and core members,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where the word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complete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crucial—any reservations disqualify it; and second,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based on specific, clear purposes,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where the words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specific, clear</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are crucial—any vague purposes disqualify it. Only when both conditions are met is it</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voluntary.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(3) Paragraph (3) is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catch-all exclusion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Except for the two cases listed in the preceding two paragraphs, the individual does not participate in any organization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the first level of exclusion;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especially does not accept participation in rigid institutional organizations including but not limited to state civil servants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the second level of enumerated exclusion; 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regardless of any incidental benefits, status, or treatment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the third level of value-based exclusion. With three levels叠加, the path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luring with benefits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also blocked—any use of status, treatment, or position as bait is precluded by this Article. (4) Paragraph (4) is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authorization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the detailed circumstances, standards, exceptions, and implementation of this Article are all entrusted to Annex A.08.001,</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Detailed Implementation Rules for the Binary Iron Law of Organizational Participation.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Statutes value simplicity, while detailed rules value comprehensiveness; this Article establishes its framework in simplicity, and Annex A.08.001 exhausts its provisions, which precisely reflects the system’s division where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main Charter is the fundamental principle, and annexes are detailed implementation rules for specific areas.</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【Question】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If I, due to urgent need for livelihood, must join an organization that is neither self-established nor voluntarily joined, can this be considered compliant with this Article?</w:t>
            </w:r>
            <w:r>
              <w:rPr>
                <w:rFonts w:ascii="DejaVu Serif" w:hAnsi="DejaVu Serif" w:eastAsia="Noto Sans CJK SC"/>
                <w:color w:val="000000"/>
                <w:sz w:val="19"/>
              </w:rPr>
              <w:t xml:space="preserve"> </w:t>
            </w:r>
            <w:r>
              <w:rPr>
                <w:rFonts w:ascii="DejaVu Serif" w:hAnsi="DejaVu Serif" w:eastAsia="Noto Sans CJK SC"/>
                <w:b/>
                <w:bCs/>
                <w:color w:val="C00000"/>
                <w:sz w:val="19"/>
              </w:rPr>
              <w:t xml:space="preserve">【Answer】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No. There is no third path beyond Paragraphs (1) and (2) of this Article, so</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urgent need for livelihood</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cannot serve as a basis for accommodation. When faced with the pressure of livelihood, one must follow the revenue-generating paths established in the main Charter’s Articles 8 and 8-2 (consulting, planning, intermediary, agency, leasing, finance, etc.) and their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minimum viable essentialist steps,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or examine whether it truly constitutes voluntary joining under Paragraph (2)’s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specific, clear purposes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—one cannot break the iron law based on the circumstances.</w:t>
            </w:r>
          </w:p>
        </w:tc>
      </w:tr>
      <w:tr>
        <w:tc>
          <w:tcPr/>
          <w:p>
            <w:pPr>
              <w:pStyle w:val="Compact"/>
              <w:spacing w:after="40" w:line="288" w:lineRule="auto"/>
              <w:jc w:val="left"/>
            </w:pPr>
            <w:r>
              <w:rPr>
                <w:rFonts w:ascii="DejaVu Serif" w:hAnsi="DejaVu Serif" w:eastAsia="Noto Sans CJK SC"/>
                <w:b/>
                <w:bCs/>
                <w:color w:val="C00000"/>
                <w:sz w:val="19"/>
              </w:rPr>
              <w:t xml:space="preserve">【Question】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What is the relationship between this Article and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necessary exception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Article 96-2?</w:t>
            </w:r>
            <w:r>
              <w:rPr>
                <w:rFonts w:ascii="DejaVu Serif" w:hAnsi="DejaVu Serif" w:eastAsia="Noto Sans CJK SC"/>
                <w:color w:val="000000"/>
                <w:sz w:val="19"/>
              </w:rPr>
              <w:t xml:space="preserve"> </w:t>
            </w:r>
            <w:r>
              <w:rPr>
                <w:rFonts w:ascii="DejaVu Serif" w:hAnsi="DejaVu Serif" w:eastAsia="Noto Sans CJK SC"/>
                <w:b/>
                <w:bCs/>
                <w:color w:val="C00000"/>
                <w:sz w:val="19"/>
              </w:rPr>
              <w:t xml:space="preserve">【Answer】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two operate on different levels and cannot be invoked interchangeably. Article 96-2 addresses the exemption from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principle of not taking political positions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the context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critical, necessary work appointments and performance,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with its target being</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expression of political position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this Article governs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organizational participation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itself, with its target being</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whether to participate.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Therefore, even with the exception in Article 96-2, it cannot be used as a basis to participate in the organizations excluded by this Article; conversely, any participation that meets this Article’s binary criteria remains bound by the provisions of Articles 95, 96, and their exceptions regarding political position expression. Each must adhere to its own domain to avoid confusion.</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Main Charter Articles 8, 8-2, 94, 95, 96, 96-2, 96-3, 144; Annex A.08.001</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Detailed Implementation Rules for the Binary Iron Law of Organizational Participation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Annex D.01.001</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Implementation Regulations for the Principle of Non-War Participation.</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color w:val="000000"/>
                <w:sz w:val="19"/>
              </w:rPr>
              <w:t xml:space="preserve">(This Part concludes)</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206"/>
    <w:bookmarkStart w:id="207" w:name="X242d296fa7a4a2dbfa478ca0e3c0c2686513301"/>
    <w:p>
      <w:pPr>
        <w:pStyle w:val="Heading3"/>
        <w:spacing w:after="120" w:line="312" w:lineRule="auto"/>
        <w:jc w:val="left"/>
      </w:pPr>
      <w:r>
        <w:rPr>
          <w:rFonts w:ascii="DejaVu Serif" w:hAnsi="DejaVu Serif" w:eastAsia="Noto Serif CJK SC"/>
          <w:color w:val="000000"/>
          <w:sz w:val="26"/>
        </w:rPr>
        <w:t xml:space="preserve">Article 144B 【Emergency Response Mechanism for Belief Crises】</w:t>
      </w:r>
    </w:p>
    <w:p>
      <w:pPr>
        <w:pStyle w:val="FirstParagraph"/>
        <w:spacing w:after="120" w:line="312" w:lineRule="auto"/>
      </w:pPr>
      <w:r>
        <w:rPr>
          <w:rFonts w:ascii="DejaVu Serif" w:hAnsi="DejaVu Serif" w:eastAsia="Noto Serif CJK SC"/>
          <w:color w:val="000000"/>
          <w:sz w:val="22"/>
        </w:rPr>
        <w:t xml:space="preserve">When a large-scale faith crisis occurs (such as the spread of extreme beliefs), activate the emergency response mechanism: (1) Establish an emergency team: composed of government, social organizations, and experts to coordinate the response work; (2) Information disclosure: promptly release to the public the progress of the crisis and response measures to avoid the spread of rumors; (3) Concentrated intervention: mobilize resources to conduct concentrated education and guidance for groups affected by extreme beliefs;</w:t>
      </w:r>
    </w:p>
    <w:tbl>
      <w:tblPr>
        <w:tblStyle w:val="Table"/>
        <w:tblW w:type="pct" w:w="5007"/>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0"/>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When a large-scale faith crisis occurs (such as the spread of extreme beliefs), activate the emergency response mechanism: (1) Establish an emergency team (composed of government, social organizations, and experts); (2) Information disclosure (promptly release progress and measures, avoid rumors); (3) Concentrated intervention (concentrated education and guidance for groups affected by extreme beliefs).</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faith crisis emergency response</w:t>
            </w:r>
            <w:r>
              <w:rPr>
                <w:rFonts w:ascii="DejaVu Serif" w:hAnsi="DejaVu Serif" w:eastAsia="Noto Sans CJK SC"/>
                <w:color w:val="000000"/>
                <w:sz w:val="19"/>
              </w:rPr>
              <w:t xml:space="preserve">”</w:t>
            </w:r>
            <w:r>
              <w:rPr>
                <w:rFonts w:ascii="DejaVu Serif" w:hAnsi="DejaVu Serif" w:eastAsia="Noto Sans CJK SC"/>
                <w:color w:val="000000"/>
                <w:sz w:val="19"/>
              </w:rPr>
              <w:t xml:space="preserve">—emergency team, information disclosure, concentrated intervention.</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【Discussion】To be cross-referenced with Articles 132 and 136, jointly constituting the governance chain of faith risks.</w:t>
            </w:r>
          </w:p>
        </w:tc>
      </w:tr>
      <w:tr>
        <w:tc>
          <w:tcPr/>
          <w:p>
            <w:pPr>
              <w:pStyle w:val="Compact"/>
              <w:spacing w:after="40" w:line="288" w:lineRule="auto"/>
              <w:jc w:val="left"/>
            </w:pPr>
            <w:r>
              <w:rPr>
                <w:rFonts w:ascii="DejaVu Serif" w:hAnsi="DejaVu Serif" w:eastAsia="Noto Sans CJK SC"/>
                <w:b/>
                <w:bCs/>
                <w:color w:val="C00000"/>
                <w:sz w:val="19"/>
              </w:rPr>
              <w:t xml:space="preserve">【Legislative History】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Note: Article 144 (Faith Crisis Emergency Response Mechanism) as contained in the consolidated version of 20251020. On August 22, 2026, the Charter added another Article 144 【Organizational Participation Binary Iron Law】. The two articles share the same number, their legislative history and application are detailed in Part 2, Item 9, and in this Article’s 【Cross-ref】. This Sub-commentary follows Article 126 【Latest Principles of Charter Application】: the currently effective Article 144 is 【Organizational Participation Binary Iron Law】; this Article (Faith Crisis Emergency Response) is one of the series of faith-related articles, its validity subject to the authentic text and the latest system catalog.</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132, Article 136, Article 145, Article 126, Part 2, Item 9.</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207"/>
    <w:bookmarkStart w:id="208" w:name="X63a199081a6a59667263f30dc4e61145e9f7a41"/>
    <w:p>
      <w:pPr>
        <w:pStyle w:val="Heading3"/>
        <w:spacing w:after="120" w:line="312" w:lineRule="auto"/>
        <w:jc w:val="left"/>
      </w:pPr>
      <w:r>
        <w:rPr>
          <w:rFonts w:ascii="DejaVu Serif" w:hAnsi="DejaVu Serif" w:eastAsia="Noto Serif CJK SC"/>
          <w:color w:val="000000"/>
          <w:sz w:val="26"/>
        </w:rPr>
        <w:t xml:space="preserve">Article 145 【Principles for Amending Belief-Related Provisions】</w:t>
      </w:r>
    </w:p>
    <w:p>
      <w:pPr>
        <w:pStyle w:val="FirstParagraph"/>
        <w:spacing w:after="120" w:line="312" w:lineRule="auto"/>
      </w:pPr>
      <w:r>
        <w:rPr>
          <w:rFonts w:ascii="DejaVu Serif" w:hAnsi="DejaVu Serif" w:eastAsia="Noto Serif CJK SC"/>
          <w:color w:val="000000"/>
          <w:sz w:val="22"/>
        </w:rPr>
        <w:t xml:space="preserve">When amending faith-related clauses in this Charter (Articles 128 to 144), the following principles must be followed: (1) Value Consistency: The amendments must align with the core values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Civilizational Success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Community with a Shared Future for Mankind</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(2) Broad Participation: Opinions from all sectors of society (such as experts, the public, and transnational organizations) must be solicited before amendment; (3) Legal Compliance: The amendments must not violate mandatory provisions of the criminal law, administrative law, etc., of the country where the act occurs. #This clause clarifies the boundaries for amending faith-related clauses, ensuring the scientificity and compliance of such amendments, and closely connecting with the Charter’s principle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Response to Legal and Regulatory Changes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125)#</w:t>
      </w:r>
    </w:p>
    <w:p>
      <w:pPr>
        <w:pStyle w:val="BodyText"/>
        <w:spacing w:after="120" w:line="312" w:lineRule="auto"/>
      </w:pPr>
      <w:r>
        <w:rPr>
          <w:rFonts w:ascii="DejaVu Serif" w:hAnsi="DejaVu Serif" w:eastAsia="Noto Serif CJK SC"/>
          <w:color w:val="000000"/>
          <w:sz w:val="22"/>
        </w:rPr>
        <w:t xml:space="preserve">i All</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employees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this text, whether specially specified or not, shall refer to one or more of civil and commercial partners, civil and commercial cooperators, and employees (same throughout the text).</w:t>
      </w:r>
    </w:p>
    <w:p>
      <w:pPr>
        <w:pStyle w:val="BodyText"/>
        <w:spacing w:after="120" w:line="312" w:lineRule="auto"/>
      </w:pPr>
      <w:r>
        <w:rPr>
          <w:rFonts w:ascii="DejaVu Serif" w:hAnsi="DejaVu Serif" w:eastAsia="Noto Serif CJK SC"/>
          <w:color w:val="000000"/>
          <w:sz w:val="22"/>
        </w:rPr>
        <w:t xml:space="preserve">Cosmic, Globalized and Internationalized Charter of Life Action Fifth Correction Bill</w:t>
      </w:r>
    </w:p>
    <w:p>
      <w:pPr>
        <w:pStyle w:val="BodyText"/>
        <w:spacing w:after="120" w:line="312" w:lineRule="auto"/>
      </w:pPr>
      <w:r>
        <w:rPr>
          <w:rFonts w:ascii="DejaVu Serif" w:hAnsi="DejaVu Serif" w:eastAsia="Noto Serif CJK SC"/>
          <w:color w:val="000000"/>
          <w:sz w:val="22"/>
        </w:rPr>
        <w:t xml:space="preserve">Article 1 In accordance with Articles 122, 124, and 126 of the Charter of Life Action, I hereby supplement and amend matters concerning decision-making boundaries for helping others, and add one article as Article 143 of the Charter of Life Action, the full text as follows:</w:t>
      </w:r>
    </w:p>
    <w:p>
      <w:pPr>
        <w:pStyle w:val="BodyText"/>
        <w:spacing w:after="120" w:line="312" w:lineRule="auto"/>
      </w:pPr>
      <w:r>
        <w:rPr>
          <w:rFonts w:ascii="DejaVu Serif" w:hAnsi="DejaVu Serif" w:eastAsia="Noto Serif CJK SC"/>
          <w:color w:val="000000"/>
          <w:sz w:val="22"/>
        </w:rPr>
        <w:t xml:space="preserve">Article 2 This Correction Bill shall take effect and be implemented from October 20, 2025.</w:t>
      </w:r>
    </w:p>
    <w:p>
      <w:pPr>
        <w:pStyle w:val="BodyText"/>
        <w:spacing w:after="120" w:line="312" w:lineRule="auto"/>
      </w:pPr>
      <w:r>
        <w:rPr>
          <w:rFonts w:ascii="DejaVu Serif" w:hAnsi="DejaVu Serif" w:eastAsia="Noto Serif CJK SC"/>
          <w:color w:val="000000"/>
          <w:sz w:val="22"/>
        </w:rPr>
        <w:t xml:space="preserve">Signature of the Charter Supplementer/Amender:</w:t>
      </w:r>
    </w:p>
    <w:p>
      <w:pPr>
        <w:pStyle w:val="BodyText"/>
        <w:spacing w:after="120" w:line="312" w:lineRule="auto"/>
      </w:pPr>
      <w:r>
        <w:rPr>
          <w:rFonts w:ascii="DejaVu Serif" w:hAnsi="DejaVu Serif" w:eastAsia="Noto Serif CJK SC"/>
          <w:color w:val="000000"/>
          <w:sz w:val="22"/>
        </w:rPr>
        <w:t xml:space="preserve">October 20, 2025</w:t>
      </w:r>
    </w:p>
    <w:tbl>
      <w:tblPr>
        <w:tblStyle w:val="Table"/>
        <w:tblW w:type="pct" w:w="5008"/>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3"/>
      </w:tblGrid>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When amending faith-related clauses in this Charter (Articles 128 to 144), the following principles must be followed: (1) Value Consistency: The amendments must align with the core values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Civilizational Success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Community with a Shared Future for Mankind</w:t>
            </w:r>
            <w:r>
              <w:rPr>
                <w:rFonts w:ascii="DejaVu Serif" w:hAnsi="DejaVu Serif" w:eastAsia="Noto Sans CJK SC"/>
                <w:color w:val="000000"/>
                <w:sz w:val="19"/>
              </w:rPr>
              <w:t xml:space="preserve">”</w:t>
            </w:r>
            <w:r>
              <w:rPr>
                <w:rFonts w:ascii="DejaVu Serif" w:hAnsi="DejaVu Serif" w:eastAsia="Noto Sans CJK SC"/>
                <w:color w:val="000000"/>
                <w:sz w:val="19"/>
              </w:rPr>
              <w:t xml:space="preserve">; (2) Broad Participation: Opinions from all sectors of society (such as experts, the public, and transnational organizations) must be solicited before amendment; (3) Legal Compliance: The amendments must not violate mandatory provisions of the criminal law, administrative law, etc., of the country where the act occurs.</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Principles for Amending Faith Clauses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—Value Consistency, Broad Participation, and Legal Compliance.</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is the concluding article of the Chapter on Civilizational Faith, and also the final article in the main Charter sequence. Its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Legal Compliance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principle echoes Article 125 【Response to Legal Amendments】, reaffirming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Legal Bottom Line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this Charter.</w:t>
            </w:r>
          </w:p>
        </w:tc>
      </w:tr>
      <w:tr>
        <w:tc>
          <w:tcPr/>
          <w:p>
            <w:pPr>
              <w:pStyle w:val="Compact"/>
              <w:spacing w:after="40" w:line="288" w:lineRule="auto"/>
              <w:jc w:val="left"/>
            </w:pPr>
            <w:r>
              <w:rPr>
                <w:rFonts w:ascii="DejaVu Serif" w:hAnsi="DejaVu Serif" w:eastAsia="Noto Sans CJK SC"/>
                <w:b/>
                <w:bCs/>
                <w:color w:val="C00000"/>
                <w:sz w:val="19"/>
              </w:rPr>
              <w:t xml:space="preserve">【Legislative History】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main Charter explicitly states: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All</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employees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this text, whether specially specified or not, shall refer to one or more of civil and commercial partners, civil and commercial cooperators, and employees (same throughout the text).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This general provision on terminology serves as the textual basis for this Sub-commentary’s handling of terminology (see General Rule 4).</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125, Article 122, Article 128, General Rule 4.</w:t>
            </w:r>
          </w:p>
        </w:tc>
      </w:tr>
    </w:tbl>
    <w:bookmarkEnd w:id="208"/>
    <w:bookmarkStart w:id="209" w:name="postscript-to-volume"/>
    <w:p>
      <w:pPr>
        <w:pStyle w:val="Heading2"/>
        <w:spacing w:after="160" w:line="312" w:lineRule="auto"/>
        <w:jc w:val="left"/>
      </w:pPr>
      <w:r>
        <w:rPr>
          <w:rFonts w:ascii="DejaVu Serif" w:hAnsi="DejaVu Serif" w:eastAsia="Noto Serif CJK SC"/>
          <w:color w:val="000000"/>
          <w:sz w:val="30"/>
        </w:rPr>
        <w:t xml:space="preserve">Postscript to Volume</w:t>
      </w:r>
    </w:p>
    <w:p>
      <w:pPr>
        <w:pStyle w:val="FirstParagraph"/>
        <w:spacing w:after="120" w:line="312" w:lineRule="auto"/>
      </w:pPr>
      <w:r>
        <w:rPr>
          <w:rFonts w:ascii="DejaVu Serif" w:hAnsi="DejaVu Serif" w:eastAsia="Noto Serif CJK SC"/>
          <w:color w:val="000000"/>
          <w:sz w:val="22"/>
        </w:rPr>
        <w:t xml:space="preserve">Sub-commentary: The main Charter consists of twelve volumes, from Article 1 to Article 145, totaling one hundred and forty-five articles (including sub-articles), and is now complete.</w:t>
      </w:r>
    </w:p>
    <w:p>
      <w:pPr>
        <w:pStyle w:val="BodyText"/>
        <w:spacing w:after="120" w:line="312" w:lineRule="auto"/>
      </w:pPr>
      <w:r>
        <w:rPr>
          <w:rFonts w:ascii="DejaVu Serif" w:hAnsi="DejaVu Serif" w:eastAsia="Noto Serif CJK SC"/>
          <w:color w:val="000000"/>
          <w:sz w:val="22"/>
        </w:rPr>
        <w:t xml:space="preserve">A comprehensive view of the entire book can be summarized in one sentence:</w:t>
      </w:r>
      <w:r>
        <w:rPr>
          <w:rFonts w:ascii="DejaVu Serif" w:hAnsi="DejaVu Serif" w:eastAsia="Noto Serif CJK SC"/>
          <w:color w:val="000000"/>
          <w:sz w:val="22"/>
        </w:rPr>
        <w:t xml:space="preserve"> </w:t>
      </w:r>
      <w:r>
        <w:rPr>
          <w:rFonts w:ascii="DejaVu Serif" w:hAnsi="DejaVu Serif" w:eastAsia="Noto Serif CJK SC"/>
          <w:b/>
          <w:bCs/>
          <w:color w:val="000000"/>
          <w:sz w:val="22"/>
        </w:rPr>
        <w:t xml:space="preserve">A</w:t>
      </w:r>
      <w:r>
        <w:rPr>
          <w:rFonts w:ascii="DejaVu Serif" w:hAnsi="DejaVu Serif" w:eastAsia="Noto Serif CJK SC"/>
          <w:b/>
          <w:bCs/>
          <w:color w:val="000000"/>
          <w:sz w:val="22"/>
        </w:rPr>
        <w:t xml:space="preserve"> </w:t>
      </w:r>
      <w:r>
        <w:rPr>
          <w:rFonts w:ascii="DejaVu Serif" w:hAnsi="DejaVu Serif" w:eastAsia="Noto Serif CJK SC"/>
          <w:b/>
          <w:bCs/>
          <w:color w:val="000000"/>
          <w:sz w:val="22"/>
        </w:rPr>
        <w:t xml:space="preserve">‘</w:t>
      </w:r>
      <w:r>
        <w:rPr>
          <w:rFonts w:ascii="DejaVu Serif" w:hAnsi="DejaVu Serif" w:eastAsia="Noto Serif CJK SC"/>
          <w:b/>
          <w:bCs/>
          <w:color w:val="000000"/>
          <w:sz w:val="22"/>
        </w:rPr>
        <w:t xml:space="preserve">sovereign individual</w:t>
      </w:r>
      <w:r>
        <w:rPr>
          <w:rFonts w:ascii="DejaVu Serif" w:hAnsi="DejaVu Serif" w:eastAsia="Noto Serif CJK SC"/>
          <w:b/>
          <w:bCs/>
          <w:color w:val="000000"/>
          <w:sz w:val="22"/>
        </w:rPr>
        <w:t xml:space="preserve">’</w:t>
      </w:r>
      <w:r>
        <w:rPr>
          <w:rFonts w:ascii="DejaVu Serif" w:hAnsi="DejaVu Serif" w:eastAsia="Noto Serif CJK SC"/>
          <w:b/>
          <w:bCs/>
          <w:color w:val="000000"/>
          <w:sz w:val="22"/>
        </w:rPr>
        <w:t xml:space="preserve"> </w:t>
      </w:r>
      <w:r>
        <w:rPr>
          <w:rFonts w:ascii="DejaVu Serif" w:hAnsi="DejaVu Serif" w:eastAsia="Noto Serif CJK SC"/>
          <w:b/>
          <w:bCs/>
          <w:color w:val="000000"/>
          <w:sz w:val="22"/>
        </w:rPr>
        <w:t xml:space="preserve">stands between heaven and earth, observing the world with the eye of essentialism, maintaining self-restraint with the minimum necessary degree, self-motivating with long-termism, treating others with a heart of altruism and win-win, using law and morality as the bottom line, ultimately seeking the maximum feasible free life.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From the establishment of the purpose in Article 1, through the ideal personality, life bottom line, survival assets, action principles, thinking models, business operations, debt settlement, civil and political affairs, intellectual property, marriage and family, growth and iteration, and finally to civilizational faith, the thread runs through, covering both substance and principle. This marks the conclusion of Part 1.</w:t>
      </w:r>
    </w:p>
    <w:p>
      <w:pPr>
        <w:pStyle w:val="BodyText"/>
        <w:spacing w:after="120" w:line="312" w:lineRule="auto"/>
      </w:pPr>
      <w:r>
        <w:rPr>
          <w:rFonts w:ascii="DejaVu Serif" w:hAnsi="DejaVu Serif" w:eastAsia="Noto Serif CJK SC"/>
          <w:color w:val="000000"/>
          <w:sz w:val="22"/>
        </w:rPr>
        <w:t xml:space="preserve">(Part 1 Main Charter End)</w:t>
      </w:r>
    </w:p>
    <w:p>
      <w:pPr>
        <w:spacing w:after="120" w:line="312" w:lineRule="auto"/>
      </w:pPr>
      <w:r>
        <w:rPr>
          <w:rFonts w:ascii="DejaVu Serif" w:hAnsi="DejaVu Serif" w:eastAsia="Noto Serif CJK SC"/>
          <w:color w:val="000000"/>
          <w:sz w:val="22"/>
        </w:rPr>
        <w:pict>
          <v:rect style="width:0;height:1.5pt" o:hralign="center" o:hrstd="t" o:hr="t"/>
        </w:pict>
      </w:r>
    </w:p>
    <w:bookmarkEnd w:id="209"/>
    <w:bookmarkEnd w:id="210"/>
    <w:bookmarkStart w:id="251" w:name="part-2-amendments-and-correction-bills"/>
    <w:p>
      <w:pPr>
        <w:pStyle w:val="Heading1"/>
        <w:spacing w:after="240" w:line="312" w:lineRule="auto"/>
        <w:jc w:val="center"/>
      </w:pPr>
      <w:r>
        <w:rPr>
          <w:rFonts w:ascii="DejaVu Serif" w:hAnsi="DejaVu Serif" w:eastAsia="Noto Serif CJK SC"/>
          <w:color w:val="000000"/>
          <w:sz w:val="34"/>
        </w:rPr>
        <w:t xml:space="preserve">Part 2 Amendments and Correction Bills</w:t>
      </w:r>
    </w:p>
    <w:p>
      <w:pPr>
        <w:pStyle w:val="FirstParagraph"/>
        <w:spacing w:after="120" w:line="312" w:lineRule="auto"/>
      </w:pPr>
      <w:r>
        <w:rPr>
          <w:rFonts w:ascii="DejaVu Serif" w:hAnsi="DejaVu Serif" w:eastAsia="Noto Serif CJK SC"/>
          <w:color w:val="000000"/>
          <w:sz w:val="22"/>
        </w:rPr>
        <w:t xml:space="preserve">The following are the formal modifications and additions to the main Charter (Amendments, Correction Bills, Rectification Bills, and newly added principle clauses), listed by case articles and Sub-commentary according to the arrangement in Part 2 of the Sub-commentary to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Charter of Life Action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b/>
          <w:bCs/>
          <w:color w:val="000000"/>
          <w:sz w:val="22"/>
        </w:rPr>
        <w:t xml:space="preserve">This Part’s Sub-commentary states</w:t>
      </w:r>
      <w:r>
        <w:rPr>
          <w:rFonts w:ascii="DejaVu Serif" w:hAnsi="DejaVu Serif" w:eastAsia="Noto Serif CJK SC"/>
          <w:color w:val="000000"/>
          <w:sz w:val="22"/>
        </w:rPr>
        <w:t xml:space="preserve">: The principal Charter is the foundation of the constitutional system; the Amendments are instruments for adaptation and improvement over time. The principal Charter was implemented on August 13, 2022, and to date has undergone nine modifications: the First Amendment, the Second Amendment, the Third Amendment,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Amendment 20240609</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the Supplementary Correction on the Boundaries of Assistance, Correction Bill (No. 2), Correction Bill (No. 3), and the Rectification Bill for Civil Partnershipization of Annex A.05.001 and Annex A.06.001, as well as the addition of new principled provisions in Article 144. These modifications take two forms: one 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alteration,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such as the First Amendment altering the ultimate goal in Article 2, Item 31, and Annex A.06.001 altering the original text without adding new article numbers; the other 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addition,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such as Correction Bill (No. 2) adding Articles 13-2 through 13-5, and Correction Bill (No. 3) adding Articles 128 through 134. There are three principles governing these modifications: every Amendment must specify its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basis,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must state its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effective date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retroactivity,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must reserve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right of interpretation.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Therefore, the Amendments form an integral and inseparable normative whole with the principal Charter. The Sub-commentary in this Part is based entirely on the authentic text; where the original text contains historical expressions, they are transcribed verbatim to facilitate comparison, as they fall under the exemption of the comparison table and are not the language of the Sub-commentary.</w:t>
      </w:r>
    </w:p>
    <w:p>
      <w:pPr>
        <w:spacing w:after="120" w:line="312" w:lineRule="auto"/>
      </w:pPr>
      <w:r>
        <w:rPr>
          <w:rFonts w:ascii="DejaVu Serif" w:hAnsi="DejaVu Serif" w:eastAsia="Noto Serif CJK SC"/>
          <w:color w:val="000000"/>
          <w:sz w:val="22"/>
        </w:rPr>
        <w:pict>
          <v:rect style="width:0;height:1.5pt" o:hralign="center" o:hrstd="t" o:hr="t"/>
        </w:pict>
      </w:r>
    </w:p>
    <w:bookmarkStart w:id="215" w:name="X4c181b1e8f501f475b6a6396d3775cfb40245d2"/>
    <w:p>
      <w:pPr>
        <w:pStyle w:val="Heading2"/>
        <w:spacing w:after="160" w:line="312" w:lineRule="auto"/>
        <w:jc w:val="left"/>
      </w:pPr>
      <w:r>
        <w:rPr>
          <w:rFonts w:ascii="DejaVu Serif" w:hAnsi="DejaVu Serif" w:eastAsia="Noto Serif CJK SC"/>
          <w:color w:val="000000"/>
          <w:sz w:val="30"/>
        </w:rPr>
        <w:t xml:space="preserve">Volume I: Sub-commentary on the</w:t>
      </w:r>
      <w:r>
        <w:rPr>
          <w:rFonts w:ascii="DejaVu Serif" w:hAnsi="DejaVu Serif" w:eastAsia="Noto Serif CJK SC"/>
          <w:color w:val="000000"/>
          <w:sz w:val="30"/>
        </w:rPr>
        <w:t xml:space="preserve"> </w:t>
      </w:r>
      <w:r>
        <w:rPr>
          <w:rFonts w:ascii="DejaVu Serif" w:hAnsi="DejaVu Serif" w:eastAsia="Noto Serif CJK SC"/>
          <w:color w:val="000000"/>
          <w:sz w:val="30"/>
        </w:rPr>
        <w:t xml:space="preserve">“</w:t>
      </w:r>
      <w:r>
        <w:rPr>
          <w:rFonts w:ascii="DejaVu Serif" w:hAnsi="DejaVu Serif" w:eastAsia="Noto Serif CJK SC"/>
          <w:color w:val="000000"/>
          <w:sz w:val="30"/>
        </w:rPr>
        <w:t xml:space="preserve">First Amendment to the Cosmic, Globalized and Internationalized Charter of Life Action</w:t>
      </w:r>
      <w:r>
        <w:rPr>
          <w:rFonts w:ascii="DejaVu Serif" w:hAnsi="DejaVu Serif" w:eastAsia="Noto Serif CJK SC"/>
          <w:color w:val="000000"/>
          <w:sz w:val="30"/>
        </w:rPr>
        <w:t xml:space="preserve">”</w:t>
      </w:r>
      <w:r>
        <w:rPr>
          <w:rFonts w:ascii="DejaVu Serif" w:hAnsi="DejaVu Serif" w:eastAsia="Noto Serif CJK SC"/>
          <w:color w:val="000000"/>
          <w:sz w:val="30"/>
        </w:rPr>
        <w:t xml:space="preserve"> </w:t>
      </w:r>
      <w:r>
        <w:rPr>
          <w:rFonts w:ascii="DejaVu Serif" w:hAnsi="DejaVu Serif" w:eastAsia="Noto Serif CJK SC"/>
          <w:color w:val="000000"/>
          <w:sz w:val="30"/>
        </w:rPr>
        <w:t xml:space="preserve">(Annex A.01.001)</w:t>
      </w:r>
    </w:p>
    <w:p>
      <w:pPr>
        <w:pStyle w:val="FirstParagraph"/>
        <w:spacing w:after="120" w:line="312" w:lineRule="auto"/>
      </w:pPr>
      <w:r>
        <w:rPr>
          <w:rFonts w:ascii="DejaVu Serif" w:hAnsi="DejaVu Serif" w:eastAsia="Noto Serif CJK SC"/>
          <w:b/>
          <w:bCs/>
          <w:color w:val="000000"/>
          <w:sz w:val="22"/>
        </w:rPr>
        <w:t xml:space="preserve">This Chapter’s Sub-commentary states</w:t>
      </w:r>
      <w:r>
        <w:rPr>
          <w:rFonts w:ascii="DejaVu Serif" w:hAnsi="DejaVu Serif" w:eastAsia="Noto Serif CJK SC"/>
          <w:color w:val="000000"/>
          <w:sz w:val="22"/>
        </w:rPr>
        <w:t xml:space="preserve">: The First Amendment is the inaugural document of the Amendment system. Its main points are three: first, to change the legal form of the ultimate life goal from</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private investment bank group legal entity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to</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private transnational family office group legal entity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second, to relax the mandatory nature of private equity funds, making them optional rather than compulsory; third, to broaden the avenues for capital contribution, allowing non-monetary shareholders. These three points are interdependent: once the goal is changed, the paths随之 become broader; once the paths are broader, the means随之 become more abundant. The spirit of this Amendment lies in replacing</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only mandatory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with</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minimum viable,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which is consistent with the principle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minimum viable essentialist steps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Article 8 of the principal Charter.</w:t>
      </w:r>
    </w:p>
    <w:bookmarkStart w:id="211" w:name="X454f82f52e47f36a83d31c7b35d7431d607114f"/>
    <w:p>
      <w:pPr>
        <w:pStyle w:val="Heading3"/>
        <w:spacing w:after="120" w:line="312" w:lineRule="auto"/>
        <w:jc w:val="left"/>
      </w:pPr>
      <w:r>
        <w:rPr>
          <w:rFonts w:ascii="DejaVu Serif" w:hAnsi="DejaVu Serif" w:eastAsia="Noto Serif CJK SC"/>
          <w:color w:val="000000"/>
          <w:sz w:val="26"/>
        </w:rPr>
        <w:t xml:space="preserve">Sub-commentary on Article 1 【Basis】, Article 7 【Effective Date】【Implementation】, and Article 8 【Right of Interpretation】</w:t>
      </w:r>
    </w:p>
    <w:p>
      <w:pPr>
        <w:pStyle w:val="FirstParagraph"/>
        <w:spacing w:after="120" w:line="312" w:lineRule="auto"/>
      </w:pPr>
      <w:r>
        <w:rPr>
          <w:rFonts w:ascii="DejaVu Serif" w:hAnsi="DejaVu Serif" w:eastAsia="Noto Serif CJK SC"/>
          <w:b/>
          <w:bCs/>
          <w:color w:val="000000"/>
          <w:sz w:val="22"/>
        </w:rPr>
        <w:t xml:space="preserve">【Statute】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1: In accordance with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Cosmic, Globalized and Internationalized Charter of Life Action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Constitution,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in order to meet the needs of personal life governance under new circumstances, the following revisions are made to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Cosmic, Globalized and Internationalized Charter of Life Action.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7: This Charter Amendment (as Annex A.01 to the Charter, with its own first revision version number being Annex A.01.001, which is this document) shall take effect from the date of signature on August 14, 2025, and its retroactivity may extend to August 13, 2025, for implementation. Article 8: The right of interpretation of this Charter is retained by the Charter-Maker himself and is exercised in written form.</w:t>
      </w:r>
    </w:p>
    <w:p>
      <w:pPr>
        <w:pStyle w:val="BodyText"/>
        <w:spacing w:after="120" w:line="312" w:lineRule="auto"/>
      </w:pPr>
      <w:r>
        <w:rPr>
          <w:rFonts w:ascii="DejaVu Serif" w:hAnsi="DejaVu Serif" w:eastAsia="Noto Serif CJK SC"/>
          <w:b/>
          <w:bCs/>
          <w:color w:val="000000"/>
          <w:sz w:val="22"/>
        </w:rPr>
        <w:t xml:space="preserve">【Commentary】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Sub-commentary states: Every Amendment must have 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Basis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to clarify the source of its revision authority. This Amendment is based on the principal Charter and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Constitution,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which is the specific exercise of the principal Charter’s Article 122 right to</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establish, modify, partially repeal, or wholly repeal</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vested in the Charter-Maker. Annex A.01 is the numbering of this Amendment within the Annex system; A.01.001 is the version sequence within the same Amendment. Once the numbering is clear, the basis for applying</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new rules supersede old rules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is established. The effective date and retroactivity are listed as separate matters: the effective date begins from the date of signature on August 14, 2025, while retroactivity extends back to August 13 of the same year, with a one-day gap bridged by the retroactive effect.</w:t>
      </w:r>
    </w:p>
    <w:p>
      <w:pPr>
        <w:pStyle w:val="BodyText"/>
        <w:spacing w:after="120" w:line="312" w:lineRule="auto"/>
      </w:pPr>
      <w:r>
        <w:rPr>
          <w:rFonts w:ascii="DejaVu Serif" w:hAnsi="DejaVu Serif" w:eastAsia="Noto Serif CJK SC"/>
          <w:b/>
          <w:bCs/>
          <w:color w:val="000000"/>
          <w:sz w:val="22"/>
        </w:rPr>
        <w:t xml:space="preserve">【Discussion】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Discussion states: The phrase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to meet the needs of personal life governance under new circumstances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is the substantive reason for the revision, not mere formal language. Every revision must be due to</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new circumstances,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therefore an Amendment does not overthrow the principal Charter but adjusts its specific items within the framework of the principal Charter. The provision that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right of interpretation is retained by the Charter-Maker himself and is exercised in written form</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is consistent with Article 123 of the principal Charter 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the归属 of final interpretation rights,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written form</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is its formal requirement, as oral interpretations are insufficient as evidence; in any dispute over ambiguity, the written interpretation shall prevail.</w:t>
      </w:r>
    </w:p>
    <w:p>
      <w:pPr>
        <w:pStyle w:val="BodyText"/>
        <w:spacing w:after="120" w:line="312" w:lineRule="auto"/>
      </w:pPr>
      <w:r>
        <w:rPr>
          <w:rFonts w:ascii="DejaVu Serif" w:hAnsi="DejaVu Serif" w:eastAsia="Noto Serif CJK SC"/>
          <w:b/>
          <w:bCs/>
          <w:color w:val="000000"/>
          <w:sz w:val="22"/>
        </w:rPr>
        <w:t xml:space="preserve">【Question】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If the retroactivity extends to the day before the implementation date, and actions taken during that one-day period were legal under the pre-amendment text but illegal under the post-amendment text, which shall prevail?</w:t>
      </w:r>
      <w:r>
        <w:rPr>
          <w:rFonts w:ascii="DejaVu Serif" w:hAnsi="DejaVu Serif" w:eastAsia="Noto Serif CJK SC"/>
          <w:color w:val="000000"/>
          <w:sz w:val="22"/>
        </w:rPr>
        <w:t xml:space="preserve"> </w:t>
      </w:r>
      <w:r>
        <w:rPr>
          <w:rFonts w:ascii="DejaVu Serif" w:hAnsi="DejaVu Serif" w:eastAsia="Noto Serif CJK SC"/>
          <w:b/>
          <w:bCs/>
          <w:color w:val="000000"/>
          <w:sz w:val="22"/>
        </w:rPr>
        <w:t xml:space="preserve">【Answer】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retroactivity of this Amendment aims to bridge the time gap between signature and implementation, ensuring a seamless transition between the old and new texts. As for which shall prevail, it shall be determined by Article 126 of the principal Charter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principle of applying the latest Charter,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namely, the latest version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Charter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shall prevail.</w:t>
      </w:r>
    </w:p>
    <w:p>
      <w:pPr>
        <w:pStyle w:val="BodyText"/>
        <w:spacing w:after="120" w:line="312" w:lineRule="auto"/>
      </w:pPr>
      <w:r>
        <w:rPr>
          <w:rFonts w:ascii="DejaVu Serif" w:hAnsi="DejaVu Serif" w:eastAsia="Noto Serif CJK SC"/>
          <w:b/>
          <w:bCs/>
          <w:color w:val="000000"/>
          <w:sz w:val="22"/>
        </w:rPr>
        <w:t xml:space="preserve">【Cross-ref】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Principal Charter Articles 1, 122, 123, 126; Annex A.02.001, Annex A.03.001.</w:t>
      </w:r>
    </w:p>
    <w:bookmarkEnd w:id="211"/>
    <w:bookmarkStart w:id="212" w:name="X33209bb804604c2bc4e542b201378a20e182faf"/>
    <w:p>
      <w:pPr>
        <w:pStyle w:val="Heading3"/>
        <w:spacing w:after="120" w:line="312" w:lineRule="auto"/>
        <w:jc w:val="left"/>
      </w:pPr>
      <w:r>
        <w:rPr>
          <w:rFonts w:ascii="DejaVu Serif" w:hAnsi="DejaVu Serif" w:eastAsia="Noto Serif CJK SC"/>
          <w:color w:val="000000"/>
          <w:sz w:val="26"/>
        </w:rPr>
        <w:t xml:space="preserve">Sub-commentary on Article 2 【Replacing</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private investment bank group legal entity</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with</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private transnational family office group legal entity</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w:t>
      </w:r>
    </w:p>
    <w:p>
      <w:pPr>
        <w:pStyle w:val="FirstParagraph"/>
        <w:spacing w:after="120" w:line="312" w:lineRule="auto"/>
      </w:pPr>
      <w:r>
        <w:rPr>
          <w:rFonts w:ascii="DejaVu Serif" w:hAnsi="DejaVu Serif" w:eastAsia="Noto Serif CJK SC"/>
          <w:b/>
          <w:bCs/>
          <w:color w:val="000000"/>
          <w:sz w:val="22"/>
        </w:rPr>
        <w:t xml:space="preserve">【Statute】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original text of Article 2, Item 31 of the Charter was: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Item 31: A simplified, minimalist, global, transnational, cross-cultural private investment bank group legal entity organization may be ultimately established.</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This is amended in Article 2, Item 31 of the Charter to:</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 person who organizes a simplified, minimalist, global, transnational, cross-cultural private transnational family office group legal entity may be ultimately established.</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b/>
          <w:bCs/>
          <w:color w:val="000000"/>
          <w:sz w:val="22"/>
        </w:rPr>
        <w:t xml:space="preserve">【Commentary】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Sub-commentary: Article 2 of the main Charter is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Description of the Ideal Personality of the Charter-Maker,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comprising thirty-two items, with Item 31 being the ultimate destination of the ideal personality. The original text used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private investment banking group legal entity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the destination, but this Correction Bill changes it to</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private transnational family office group legal entity.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This is not a downgrade but a practical matter: the establishment of an investment bank is subject to triple limitations of licensing, capital, and regulation, which cannot be achieved through a single approach; a family office, however, is based on the integrated operation of family assets, its form can be simple, its structure can be light, which matches the adjectives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simplified</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minimalist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the main Charter.</w:t>
      </w:r>
    </w:p>
    <w:p>
      <w:pPr>
        <w:pStyle w:val="BodyText"/>
        <w:spacing w:after="120" w:line="312" w:lineRule="auto"/>
      </w:pPr>
      <w:r>
        <w:rPr>
          <w:rFonts w:ascii="DejaVu Serif" w:hAnsi="DejaVu Serif" w:eastAsia="Noto Serif CJK SC"/>
          <w:b/>
          <w:bCs/>
          <w:color w:val="000000"/>
          <w:sz w:val="22"/>
        </w:rPr>
        <w:t xml:space="preserve">【Discussion】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Discussion: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Private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distinguishes it from state-owned and publicly operated, clarifying its private property rights;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transnational</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responds to the purpose of residing abroad and engaging in foreign affairs as stipulated in Article 8 of the main Charter;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family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responds to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long-term asset target system</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Item 22 of Article 4 and the meaning of family inheritance as stipulated in the main Charter;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office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does not refer to a large building but a simplified and minimalist operational center. When these four words are connected, the ultimate destination of the ideal personality shifts from</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heavy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to</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light,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from</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unique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to</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feasible.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However, Article 1-2 of the main Charter 【Supreme Guiding Ideals】 still contains the phrase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establishing globalized private investment banking, private international benign asset management company legal entities, private placement fund company legal entities.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Both exist, and according to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Latest Charter Application Principle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Article 126 of the main Charter,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private transnational family office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determined in this Correction Bill shall be the ultimate destination, while private equity funds and asset management legal entities shall be optional intermediate stations.</w:t>
      </w:r>
    </w:p>
    <w:p>
      <w:pPr>
        <w:pStyle w:val="BodyText"/>
        <w:spacing w:after="120" w:line="312" w:lineRule="auto"/>
      </w:pPr>
      <w:r>
        <w:rPr>
          <w:rFonts w:ascii="DejaVu Serif" w:hAnsi="DejaVu Serif" w:eastAsia="Noto Serif CJK SC"/>
          <w:b/>
          <w:bCs/>
          <w:color w:val="000000"/>
          <w:sz w:val="22"/>
        </w:rPr>
        <w:t xml:space="preserve">【Question】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original text ends with the character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的</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(de), and the revised text also contains the two characters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的人</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(de ren). What is their meaning?</w:t>
      </w:r>
      <w:r>
        <w:rPr>
          <w:rFonts w:ascii="DejaVu Serif" w:hAnsi="DejaVu Serif" w:eastAsia="Noto Serif CJK SC"/>
          <w:color w:val="000000"/>
          <w:sz w:val="22"/>
        </w:rPr>
        <w:t xml:space="preserve"> </w:t>
      </w:r>
      <w:r>
        <w:rPr>
          <w:rFonts w:ascii="DejaVu Serif" w:hAnsi="DejaVu Serif" w:eastAsia="Noto Serif CJK SC"/>
          <w:b/>
          <w:bCs/>
          <w:color w:val="000000"/>
          <w:sz w:val="22"/>
        </w:rPr>
        <w:t xml:space="preserve">【Answer】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2 of the main Charter is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Description of the Ideal Personality,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each item describes the state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that person,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therefore the suffix</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的</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is added at the end to form the sentence pattern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…的人</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 person who…). It is not redundant text, but rather shows that this article is a description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person,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not a listing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matters.</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b/>
          <w:bCs/>
          <w:color w:val="000000"/>
          <w:sz w:val="22"/>
        </w:rPr>
        <w:t xml:space="preserve">【Cross-ref】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1-2, Article 2, Article 4, Article 8-2, Article 126 of the main Charter.</w:t>
      </w:r>
    </w:p>
    <w:bookmarkEnd w:id="212"/>
    <w:bookmarkStart w:id="213" w:name="Xdc997666f91c4feff1602040fbaba33bd6a6023"/>
    <w:p>
      <w:pPr>
        <w:pStyle w:val="Heading3"/>
        <w:spacing w:after="120" w:line="312" w:lineRule="auto"/>
        <w:jc w:val="left"/>
      </w:pPr>
      <w:r>
        <w:rPr>
          <w:rFonts w:ascii="DejaVu Serif" w:hAnsi="DejaVu Serif" w:eastAsia="Noto Serif CJK SC"/>
          <w:color w:val="000000"/>
          <w:sz w:val="26"/>
        </w:rPr>
        <w:t xml:space="preserve">Sub-commentary on Article 3 【The Substitutability of the Establishment of Private Equity Funds】 and Article 4 【The Permissibility of Non-monetary Shareholder Entry Investment Methods】</w:t>
      </w:r>
    </w:p>
    <w:p>
      <w:pPr>
        <w:pStyle w:val="FirstParagraph"/>
        <w:spacing w:after="120" w:line="312" w:lineRule="auto"/>
      </w:pPr>
      <w:r>
        <w:rPr>
          <w:rFonts w:ascii="DejaVu Serif" w:hAnsi="DejaVu Serif" w:eastAsia="Noto Serif CJK SC"/>
          <w:b/>
          <w:bCs/>
          <w:color w:val="000000"/>
          <w:sz w:val="22"/>
        </w:rPr>
        <w:t xml:space="preserve">【Statute】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3: After Article 8-3 of the Charter, add one article as Article 8-4 of the Charter: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 in accordance with the law and the governing principles of this Charter, within the scope of this Charter, list the establishment of private equity funds as an optional item, but under no circumstances is it a mandatory life project.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4: After Article 8-4 of the Charter, add one article as Article 8-5 of the Charter: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Within the scope of this Charter, in my investment methods (in any company, enterprise, or other legal or non-legal entity), the permissibility of non-monetary shareholder entry investment can be realized through: (1) by equity; (2) by debt; (3) by intellectual property rights (IPR); (4) by the right to use specific legally investible and appraisable assets; (5) by a combination investment of one or more other legally usable non-monetary shareholder entry investment assets.</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b/>
          <w:bCs/>
          <w:color w:val="000000"/>
          <w:sz w:val="22"/>
        </w:rPr>
        <w:t xml:space="preserve">【Commentary】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Sub-commentary: Articles 8-4 and 8-5 are the two new articles added herein, both under Article 8</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Description of Intended Work, Activities, Life States, and Methods.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8-3 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My Red Lines for Venture Capital Activities,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its meaning being prohibition; Articles 8-4 and 8-5, however, have meanings of permission. Prohibition and permission complement each other, making the path of venture capital accessible. The former lifts the shackles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must be done,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the latter lifts the shackles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must be capitalized with currency,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both serving to increase the feasibility of life.</w:t>
      </w:r>
    </w:p>
    <w:p>
      <w:pPr>
        <w:pStyle w:val="BodyText"/>
        <w:spacing w:after="120" w:line="312" w:lineRule="auto"/>
      </w:pPr>
      <w:r>
        <w:rPr>
          <w:rFonts w:ascii="DejaVu Serif" w:hAnsi="DejaVu Serif" w:eastAsia="Noto Serif CJK SC"/>
          <w:b/>
          <w:bCs/>
          <w:color w:val="000000"/>
          <w:sz w:val="22"/>
        </w:rPr>
        <w:t xml:space="preserve">【Discussion】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Discussion: The phrases in Article 8-4,</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listed as an optional item</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not a mandatory life project,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are the correct interpretation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substitutability.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Since it is optional, life cannot be considered a failure for not establishing a private equity fund; since it 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not mandatory,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 cannot be used as a hard indicator to measure阶段性 achievements. Article 8-5 lists five paths for non-monetary capital contribution: equity, debt, intellectual property rights, legally appraisable asset usage rights, and other legally usable non-monetary capital contributions and their combinations.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Legal,</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appraisable,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usable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are their common thresholds, therefore this article permits rather than indulges—anything that is illegal or cannot be appraised is not permitted.</w:t>
      </w:r>
    </w:p>
    <w:p>
      <w:pPr>
        <w:pStyle w:val="BodyText"/>
        <w:spacing w:after="120" w:line="312" w:lineRule="auto"/>
      </w:pPr>
      <w:r>
        <w:rPr>
          <w:rFonts w:ascii="DejaVu Serif" w:hAnsi="DejaVu Serif" w:eastAsia="Noto Serif CJK SC"/>
          <w:b/>
          <w:bCs/>
          <w:color w:val="000000"/>
          <w:sz w:val="22"/>
        </w:rPr>
        <w:t xml:space="preserve">【Question】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Since Article 8-5 permits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intellectual property rights (IPR)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capital contribution, are copyright, trademark rights, and patent rights all included?</w:t>
      </w:r>
      <w:r>
        <w:rPr>
          <w:rFonts w:ascii="DejaVu Serif" w:hAnsi="DejaVu Serif" w:eastAsia="Noto Serif CJK SC"/>
          <w:color w:val="000000"/>
          <w:sz w:val="22"/>
        </w:rPr>
        <w:t xml:space="preserve"> </w:t>
      </w:r>
      <w:r>
        <w:rPr>
          <w:rFonts w:ascii="DejaVu Serif" w:hAnsi="DejaVu Serif" w:eastAsia="Noto Serif CJK SC"/>
          <w:b/>
          <w:bCs/>
          <w:color w:val="000000"/>
          <w:sz w:val="22"/>
        </w:rPr>
        <w:t xml:space="preserve">【Answer】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22(4) of Article 4 of the main Charter has already listed IPR assets as three types: copyright income, trademark rights income, and patent rights income.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intellectual property rights (IPR)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this article shall naturally be consistent with this, and anything belonging to IPR can be a capital contribution subject, but it must still be subject to the common limitation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legally investible and appraisable.</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b/>
          <w:bCs/>
          <w:color w:val="000000"/>
          <w:sz w:val="22"/>
        </w:rPr>
        <w:t xml:space="preserve">【Cross-ref】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4, Article 8, Article 8-2, Article 8-3, Article 8-4, Article 8-5 of the main Charter.</w:t>
      </w:r>
    </w:p>
    <w:bookmarkEnd w:id="213"/>
    <w:bookmarkStart w:id="214" w:name="X69d61a8f30dfcae8b03f25cd07afecb00e3959f"/>
    <w:p>
      <w:pPr>
        <w:pStyle w:val="Heading3"/>
        <w:spacing w:after="120" w:line="312" w:lineRule="auto"/>
        <w:jc w:val="left"/>
      </w:pPr>
      <w:r>
        <w:rPr>
          <w:rFonts w:ascii="DejaVu Serif" w:hAnsi="DejaVu Serif" w:eastAsia="Noto Serif CJK SC"/>
          <w:color w:val="000000"/>
          <w:sz w:val="26"/>
        </w:rPr>
        <w:t xml:space="preserve">Sub-commentary on Article 5 【The Legal Adjustment of the Female Age Standard in Article 13-5】 and Article 6 【The Scope of Application of Article 13-4】</w:t>
      </w:r>
    </w:p>
    <w:p>
      <w:pPr>
        <w:pStyle w:val="FirstParagraph"/>
        <w:spacing w:after="120" w:line="312" w:lineRule="auto"/>
      </w:pPr>
      <w:r>
        <w:rPr>
          <w:rFonts w:ascii="DejaVu Serif" w:hAnsi="DejaVu Serif" w:eastAsia="Noto Serif CJK SC"/>
          <w:b/>
          <w:bCs/>
          <w:color w:val="000000"/>
          <w:sz w:val="22"/>
        </w:rPr>
        <w:t xml:space="preserve">【Statute】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5: After Article 13-5, add one article as Article 13-6:</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Notwithstanding the provisions and statements in the preceding paragraph, when (a) the person’s country of legal nationality or (b) the country of residence where the act occurred or (c) the country of residence where the result occurred or (d) the country of nationality of the counterparty is one or more of the People’s Republic of China, the age of the female in Article 13-5 shall not be less than fourteen years of age; when the aforementioned (a)-(d) are other countries, and if the criminal law (code/statute) of the relevant country stipulates a higher age limit, it shall be adjusted according to such provisions; however, this shall not apply when the person can no longer satisfy the condition that (a) is the People’s Republic of China and the criminal law (code/statute) of the new country of nationality stipulates a lower age limit and there is no higher age limit in the criminal law (code/statute) of the relevant countries in (b)-(d).</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6: After Article 13-4, add one article as Article 13-4(b):</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This article applies and applies only to the case where the person’s country of nationality is not the People’s Republic of China (having legally changed nationality in advance) and the criminal law and laws of the new country of nationality do not explicitly prohibit the act.</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b/>
          <w:bCs/>
          <w:color w:val="000000"/>
          <w:sz w:val="22"/>
        </w:rPr>
        <w:t xml:space="preserve">【Commentary】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Sub-commentary: These two articles are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connecting point rules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for the prohibitory provisions of Articles 13-2 to 13-5. Article 13-5 sets the prerequisite that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female counterparty has given explicit consent and guaranteed her life safety, physical health, and complete voluntariness,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at the end of the text, it sets a minimum age (at least nine years old, and not less than twelve years old in principle). However, as life is lived across various countries, the age limits in criminal laws vary from country to country. Therefore, Article 13-6 is established to determine the applicable age standard based on four connecting points: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country of nationality,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place where the act occurred,</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place where the result occurred,</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country of nationality of the counterparty,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adopting the principle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taking the higher.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13-4 is specifically established for areas under the jurisdiction of the criminal law of the People’s Republic of China, and therefore Article 13-4(b) is added to clarify the conditions for its scope of application.</w:t>
      </w:r>
    </w:p>
    <w:p>
      <w:pPr>
        <w:pStyle w:val="BodyText"/>
        <w:spacing w:after="120" w:line="312" w:lineRule="auto"/>
      </w:pPr>
      <w:r>
        <w:rPr>
          <w:rFonts w:ascii="DejaVu Serif" w:hAnsi="DejaVu Serif" w:eastAsia="Noto Serif CJK SC"/>
          <w:b/>
          <w:bCs/>
          <w:color w:val="000000"/>
          <w:sz w:val="22"/>
        </w:rPr>
        <w:t xml:space="preserve">【Discussion】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Discussion: The essence of Article 13-6 lies in the fact that if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one or more of the four connecting points is the People’s Republic of China,</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 triggers the bottom line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not less than fourteen years of age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if all four are other countries, then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if there is a higher age limit, follow its provisions,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still taking the higher and not the lower; only when the person’s nationality has been legally changed, the legal age of the new country of nationality is lower, and none of the four connecting points is the People’s Republic of China and none has a higher limit, does the fourteen-year-old bottom line not apply. This layered restriction is intended not for leniency, but for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taking the higher to avoid falling below the minimum standard.</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applies and applies only to</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Article 6 is a double limiting clause: first,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applies,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clarifying its exclusive use; second,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applies only to,</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clarifying that it is not subject to analogy. It has two requirements: nationality has been legally changed in advance, and the criminal law and laws of the new country of nationality do not explicitly prohibit. If one is missing, it still falls under the jurisdiction of the main text of Article 13-4.</w:t>
      </w:r>
    </w:p>
    <w:p>
      <w:pPr>
        <w:pStyle w:val="BodyText"/>
        <w:spacing w:after="120" w:line="312" w:lineRule="auto"/>
      </w:pPr>
      <w:r>
        <w:rPr>
          <w:rFonts w:ascii="DejaVu Serif" w:hAnsi="DejaVu Serif" w:eastAsia="Noto Serif CJK SC"/>
          <w:b/>
          <w:bCs/>
          <w:color w:val="000000"/>
          <w:sz w:val="22"/>
        </w:rPr>
        <w:t xml:space="preserve">【Question】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Since Article 13-4(b) requires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having legally changed nationality in advance,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what is the situation during the period when the change is not completed?</w:t>
      </w:r>
      <w:r>
        <w:rPr>
          <w:rFonts w:ascii="DejaVu Serif" w:hAnsi="DejaVu Serif" w:eastAsia="Noto Serif CJK SC"/>
          <w:color w:val="000000"/>
          <w:sz w:val="22"/>
        </w:rPr>
        <w:t xml:space="preserve"> </w:t>
      </w:r>
      <w:r>
        <w:rPr>
          <w:rFonts w:ascii="DejaVu Serif" w:hAnsi="DejaVu Serif" w:eastAsia="Noto Serif CJK SC"/>
          <w:b/>
          <w:bCs/>
          <w:color w:val="000000"/>
          <w:sz w:val="22"/>
        </w:rPr>
        <w:t xml:space="preserve">【Answer】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If the change is not completed, then the requirements of paragraph (b) are not met, and Article 13-4 and its rules of jurisdiction under the criminal law of the People’s Republic of China shall still apply; this is precisely the order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first according to law, then application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of this Rectification Bill.</w:t>
      </w:r>
    </w:p>
    <w:p>
      <w:pPr>
        <w:pStyle w:val="BodyText"/>
        <w:spacing w:after="120" w:line="312" w:lineRule="auto"/>
      </w:pPr>
      <w:r>
        <w:rPr>
          <w:rFonts w:ascii="DejaVu Serif" w:hAnsi="DejaVu Serif" w:eastAsia="Noto Serif CJK SC"/>
          <w:b/>
          <w:bCs/>
          <w:color w:val="000000"/>
          <w:sz w:val="22"/>
        </w:rPr>
        <w:t xml:space="preserve">【Cross-ref】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Main Charter Article 13, Article 13-2, Article 13-3, Article 13-4, Article 13-5, Article 13-6, Article 125.</w:t>
      </w:r>
    </w:p>
    <w:p>
      <w:pPr>
        <w:spacing w:after="120" w:line="312" w:lineRule="auto"/>
      </w:pPr>
      <w:r>
        <w:rPr>
          <w:rFonts w:ascii="DejaVu Serif" w:hAnsi="DejaVu Serif" w:eastAsia="Noto Serif CJK SC"/>
          <w:color w:val="000000"/>
          <w:sz w:val="22"/>
        </w:rPr>
        <w:pict>
          <v:rect style="width:0;height:1.5pt" o:hralign="center" o:hrstd="t" o:hr="t"/>
        </w:pict>
      </w:r>
    </w:p>
    <w:bookmarkEnd w:id="214"/>
    <w:bookmarkEnd w:id="215"/>
    <w:bookmarkStart w:id="219" w:name="X781efdeac4b1f7faf1501be62c30906ee15e582"/>
    <w:p>
      <w:pPr>
        <w:pStyle w:val="Heading2"/>
        <w:spacing w:after="160" w:line="312" w:lineRule="auto"/>
        <w:jc w:val="left"/>
      </w:pPr>
      <w:r>
        <w:rPr>
          <w:rFonts w:ascii="DejaVu Serif" w:hAnsi="DejaVu Serif" w:eastAsia="Noto Serif CJK SC"/>
          <w:color w:val="000000"/>
          <w:sz w:val="30"/>
        </w:rPr>
        <w:t xml:space="preserve">Volume II Sub-commentary on the</w:t>
      </w:r>
      <w:r>
        <w:rPr>
          <w:rFonts w:ascii="DejaVu Serif" w:hAnsi="DejaVu Serif" w:eastAsia="Noto Serif CJK SC"/>
          <w:color w:val="000000"/>
          <w:sz w:val="30"/>
        </w:rPr>
        <w:t xml:space="preserve"> </w:t>
      </w:r>
      <w:r>
        <w:rPr>
          <w:rFonts w:ascii="DejaVu Serif" w:hAnsi="DejaVu Serif" w:eastAsia="Noto Serif CJK SC"/>
          <w:color w:val="000000"/>
          <w:sz w:val="30"/>
        </w:rPr>
        <w:t xml:space="preserve">“</w:t>
      </w:r>
      <w:r>
        <w:rPr>
          <w:rFonts w:ascii="DejaVu Serif" w:hAnsi="DejaVu Serif" w:eastAsia="Noto Serif CJK SC"/>
          <w:color w:val="000000"/>
          <w:sz w:val="30"/>
        </w:rPr>
        <w:t xml:space="preserve">Cosmic, Globalized and Internationalized Charter of Life Action Second Amendment</w:t>
      </w:r>
      <w:r>
        <w:rPr>
          <w:rFonts w:ascii="DejaVu Serif" w:hAnsi="DejaVu Serif" w:eastAsia="Noto Serif CJK SC"/>
          <w:color w:val="000000"/>
          <w:sz w:val="30"/>
        </w:rPr>
        <w:t xml:space="preserve">”</w:t>
      </w:r>
      <w:r>
        <w:rPr>
          <w:rFonts w:ascii="DejaVu Serif" w:hAnsi="DejaVu Serif" w:eastAsia="Noto Serif CJK SC"/>
          <w:color w:val="000000"/>
          <w:sz w:val="30"/>
        </w:rPr>
        <w:t xml:space="preserve"> </w:t>
      </w:r>
      <w:r>
        <w:rPr>
          <w:rFonts w:ascii="DejaVu Serif" w:hAnsi="DejaVu Serif" w:eastAsia="Noto Serif CJK SC"/>
          <w:color w:val="000000"/>
          <w:sz w:val="30"/>
        </w:rPr>
        <w:t xml:space="preserve">(Annex A.02.001)</w:t>
      </w:r>
    </w:p>
    <w:p>
      <w:pPr>
        <w:pStyle w:val="FirstParagraph"/>
        <w:spacing w:after="120" w:line="312" w:lineRule="auto"/>
      </w:pPr>
      <w:r>
        <w:rPr>
          <w:rFonts w:ascii="DejaVu Serif" w:hAnsi="DejaVu Serif" w:eastAsia="Noto Serif CJK SC"/>
          <w:b/>
          <w:bCs/>
          <w:color w:val="000000"/>
          <w:sz w:val="22"/>
        </w:rPr>
        <w:t xml:space="preserve">Sub-commentary to this Chapter</w:t>
      </w:r>
      <w:r>
        <w:rPr>
          <w:rFonts w:ascii="DejaVu Serif" w:hAnsi="DejaVu Serif" w:eastAsia="Noto Serif CJK SC"/>
          <w:color w:val="000000"/>
          <w:sz w:val="22"/>
        </w:rPr>
        <w:t xml:space="preserve">: The Second Amendment is specifically established for the exceptions and boundaries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principle of not holding political positions.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Main Charter Article 95 establishes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principle of non-participation in political parties,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Article 96 establishes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principle of not holding political positions,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both of which are absolute provisions. However, since the person has key and necessary positions and duties to perform, they must cooperate with the counterparty for a long period. If the principles are rigid, then cooperation becomes impossible. Therefore, the Second Amendment adds Articles 96-2 and 96-3 after Article 96: one to open up through</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necessary exceptions,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one to set limits through</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boundaries.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establishment of both opening up and setting limits is the subtle point of this amendment’s legislation. What is cited in this section is only a summary; the full text shall be taken as the authentic text.</w:t>
      </w:r>
    </w:p>
    <w:bookmarkStart w:id="216" w:name="X89c4788925f1499abfaa78ef79dfd0b9edef5fd"/>
    <w:p>
      <w:pPr>
        <w:pStyle w:val="Heading3"/>
        <w:spacing w:after="120" w:line="312" w:lineRule="auto"/>
        <w:jc w:val="left"/>
      </w:pPr>
      <w:r>
        <w:rPr>
          <w:rFonts w:ascii="DejaVu Serif" w:hAnsi="DejaVu Serif" w:eastAsia="Noto Serif CJK SC"/>
          <w:color w:val="000000"/>
          <w:sz w:val="26"/>
        </w:rPr>
        <w:t xml:space="preserve">Sub-commentary on Article 1 【Basis】, Article 4 【Implementation】, and Article 5 【Right of Interpretation】</w:t>
      </w:r>
    </w:p>
    <w:p>
      <w:pPr>
        <w:pStyle w:val="FirstParagraph"/>
        <w:spacing w:after="120" w:line="312" w:lineRule="auto"/>
      </w:pPr>
      <w:r>
        <w:rPr>
          <w:rFonts w:ascii="DejaVu Serif" w:hAnsi="DejaVu Serif" w:eastAsia="Noto Serif CJK SC"/>
          <w:b/>
          <w:bCs/>
          <w:color w:val="000000"/>
          <w:sz w:val="22"/>
        </w:rPr>
        <w:t xml:space="preserve">【Statute】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1: In accordance with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Cosmic, Globalized and Internationalized Charter of Life Action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Constitution,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in order to adapt to the needs of personal life governance, fulfillment of duties and responsibilities, and adaptation of personal development under the new situation, the following revisions are made to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Cosmic, Globalized and Internationalized Charter of Life Action.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4: This Charter Amendment (as Annex A.02 of the Charter, with its first revision version number being Annex A.02.001, i.e., this document) shall take effect from the date of signature on August 18, 2025, and may be applied retroactively from August 19, 2025. Article 5: The right of interpretation of this Charter is retained by the Charter-Maker and shall be exercised in written form.</w:t>
      </w:r>
    </w:p>
    <w:p>
      <w:pPr>
        <w:pStyle w:val="BodyText"/>
        <w:spacing w:after="120" w:line="312" w:lineRule="auto"/>
      </w:pPr>
      <w:r>
        <w:rPr>
          <w:rFonts w:ascii="DejaVu Serif" w:hAnsi="DejaVu Serif" w:eastAsia="Noto Serif CJK SC"/>
          <w:b/>
          <w:bCs/>
          <w:color w:val="000000"/>
          <w:sz w:val="22"/>
        </w:rPr>
        <w:t xml:space="preserve">【Commentary】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Sub-commentary: The basis language of this Rectification Bill adds eight characters—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to perform duties responsibly and to align with personal development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—compared to the First Rectification Bill, which is precisely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new situation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 addresses. The structure of a Rectification Bill invariably follows the principle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Basis—Main Text—Implementation—Right of Interpretation,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this bill is no exception. Annex A.02 is the second document in the Rectification Bill system; A.02.001 is its first edition. Although the effective date and retroactivity are separated by only one day, the practice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taking effect upon signing and retroacting to the following day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has become the established formula for Rectification Bills, thereby preventing disputes over gaps.</w:t>
      </w:r>
    </w:p>
    <w:p>
      <w:pPr>
        <w:pStyle w:val="BodyText"/>
        <w:spacing w:after="120" w:line="312" w:lineRule="auto"/>
      </w:pPr>
      <w:r>
        <w:rPr>
          <w:rFonts w:ascii="DejaVu Serif" w:hAnsi="DejaVu Serif" w:eastAsia="Noto Serif CJK SC"/>
          <w:b/>
          <w:bCs/>
          <w:color w:val="000000"/>
          <w:sz w:val="22"/>
        </w:rPr>
        <w:t xml:space="preserve">【Discussion】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Discussion: The phrase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to meet the needs of personal life governance and to perform duties responsibly and align with personal development under the new situation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serves as its legitimate justification for the amendment. Any exception must first have a legitimate justification; to establish an exception without reason is to curry favor; to establish an exception with reason is to make an adjustment. This Article places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performing duties responsibly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personal development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parallel, clarifying that the exception is not for convenience but for necessary reconciliation.</w:t>
      </w:r>
    </w:p>
    <w:p>
      <w:pPr>
        <w:pStyle w:val="BodyText"/>
        <w:spacing w:after="120" w:line="312" w:lineRule="auto"/>
      </w:pPr>
      <w:r>
        <w:rPr>
          <w:rFonts w:ascii="DejaVu Serif" w:hAnsi="DejaVu Serif" w:eastAsia="Noto Serif CJK SC"/>
          <w:b/>
          <w:bCs/>
          <w:color w:val="000000"/>
          <w:sz w:val="22"/>
        </w:rPr>
        <w:t xml:space="preserve">【Cross-ref】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Main Charter Article 2, Article 122, Article 126.</w:t>
      </w:r>
    </w:p>
    <w:bookmarkEnd w:id="216"/>
    <w:bookmarkStart w:id="217" w:name="X713d8d49e32e99c2e4935537e35678e4ed22232"/>
    <w:p>
      <w:pPr>
        <w:pStyle w:val="Heading3"/>
        <w:spacing w:after="120" w:line="312" w:lineRule="auto"/>
        <w:jc w:val="left"/>
      </w:pPr>
      <w:r>
        <w:rPr>
          <w:rFonts w:ascii="DejaVu Serif" w:hAnsi="DejaVu Serif" w:eastAsia="Noto Serif CJK SC"/>
          <w:color w:val="000000"/>
          <w:sz w:val="26"/>
        </w:rPr>
        <w:t xml:space="preserve">Sub-commentary to Article 2-2 [Necessary Exceptions to the Principle of Not Holding Political Stances] (newly added as Article 96-2)</w:t>
      </w:r>
    </w:p>
    <w:p>
      <w:pPr>
        <w:pStyle w:val="FirstParagraph"/>
        <w:spacing w:after="120" w:line="312" w:lineRule="auto"/>
      </w:pPr>
      <w:r>
        <w:rPr>
          <w:rFonts w:ascii="DejaVu Serif" w:hAnsi="DejaVu Serif" w:eastAsia="Noto Serif CJK SC"/>
          <w:b/>
          <w:bCs/>
          <w:color w:val="000000"/>
          <w:sz w:val="22"/>
        </w:rPr>
        <w:t xml:space="preserve">【Statute】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96-2 [Necessary Exceptions to the Principle of Not Holding Political Stances] may, under the corresponding principle’s circumstances in the following situations, make necessary exemptions as appropriate: (1) Where it is indeed necessary or required to perform key and essential work duties, and is necessary to reach (longer-term) cooperation with the other party; (2) Where engaging in the situations in (1) does not necessarily require mandatory joining of a specific political party or faction, or engaging in non-essential party activities such as, but not limited to, election canvassing and work promotional activities that are not essential to performing duties; (3) Other exemptible situations of the same nature as those described above.</w:t>
      </w:r>
    </w:p>
    <w:p>
      <w:pPr>
        <w:pStyle w:val="BodyText"/>
        <w:spacing w:after="120" w:line="312" w:lineRule="auto"/>
      </w:pPr>
      <w:r>
        <w:rPr>
          <w:rFonts w:ascii="DejaVu Serif" w:hAnsi="DejaVu Serif" w:eastAsia="Noto Serif CJK SC"/>
          <w:b/>
          <w:bCs/>
          <w:color w:val="000000"/>
          <w:sz w:val="22"/>
        </w:rPr>
        <w:t xml:space="preserve">【Commentary】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Sub-commentary: The text of Article 96 states the principle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not intending to support, nor intending to oppose, any political stance, any (state) political party, any other political organization, or any political slogan advocacy.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What this paragraph adds is its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necessary exception.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Principles and exceptions are like a dike and water: without the dike, the water overflows; without the sluice, the dike stands in vain. This paragraph is the sluice. It establishes three clauses: the first clause defines the grounds for exemption (key and essential appointments and duties, and longer-term cooperation being necessary); the second clause defines the boundary of the exemption (exemption does not equal mandatory party membership, nor does it equal participating in election canvassing, non-duty-essential promotional activities, and other non-essential party activities); the third clause is a catch-all, encompassing</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other exemptible situations of the same nature as those described above.</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b/>
          <w:bCs/>
          <w:color w:val="000000"/>
          <w:sz w:val="22"/>
        </w:rPr>
        <w:t xml:space="preserve">【Discussion】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Discussion: The essence of the first clause lies in the triple limitations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key and essential,</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indeed necessary,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necessary.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Any non-key position, non-essential appointment, or non-essential cooperation may not invoke this clause. The essence of the second clause lies in the four characters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does not necessarily require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this is a conditional complex sentence, clearly stating that the scope of the exemption extends only to</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cooperation with the other party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itself and absolutely does not extend to</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joining a political party or faction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non-essential party activities.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Therefore, even when invoking the exemption, the individual remains unconstrained by mandatory party membership and is still not required to engage in non-duty-essential matters such as election canvassing or work promotion. The catch-all nature of the third clause is limited by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of the same nature,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hence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profitable gain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cannot be cited as a reason of the same nature. When the three clauses are considered together, the exemption has its grounds, its boundaries, and its limits.</w:t>
      </w:r>
    </w:p>
    <w:p>
      <w:pPr>
        <w:pStyle w:val="BodyText"/>
        <w:spacing w:after="120" w:line="312" w:lineRule="auto"/>
      </w:pPr>
      <w:r>
        <w:rPr>
          <w:rFonts w:ascii="DejaVu Serif" w:hAnsi="DejaVu Serif" w:eastAsia="Noto Serif CJK SC"/>
          <w:b/>
          <w:bCs/>
          <w:color w:val="000000"/>
          <w:sz w:val="22"/>
        </w:rPr>
        <w:t xml:space="preserve">【Question】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Since the second clause states that the exemption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does not necessarily require mandatory joining of a specific political party or faction,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may the individual voluntarily join a political party?</w:t>
      </w:r>
      <w:r>
        <w:rPr>
          <w:rFonts w:ascii="DejaVu Serif" w:hAnsi="DejaVu Serif" w:eastAsia="Noto Serif CJK SC"/>
          <w:color w:val="000000"/>
          <w:sz w:val="22"/>
        </w:rPr>
        <w:t xml:space="preserve"> </w:t>
      </w:r>
      <w:r>
        <w:rPr>
          <w:rFonts w:ascii="DejaVu Serif" w:hAnsi="DejaVu Serif" w:eastAsia="Noto Serif CJK SC"/>
          <w:b/>
          <w:bCs/>
          <w:color w:val="000000"/>
          <w:sz w:val="22"/>
        </w:rPr>
        <w:t xml:space="preserve">【Answer】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No. Article 95 [Principle of Non-Participation in Political Parties] explicitly states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under no circumstances, based on any interest or intent, join any political party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Article 96-2 is an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exception to the exception,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which only addresses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necessity of cooperation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does not address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prohibition of party membership.</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phrase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does not necessarily require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this clause is precisely for this purpose.</w:t>
      </w:r>
    </w:p>
    <w:p>
      <w:pPr>
        <w:pStyle w:val="BodyText"/>
        <w:spacing w:after="120" w:line="312" w:lineRule="auto"/>
      </w:pPr>
      <w:r>
        <w:rPr>
          <w:rFonts w:ascii="DejaVu Serif" w:hAnsi="DejaVu Serif" w:eastAsia="Noto Serif CJK SC"/>
          <w:b/>
          <w:bCs/>
          <w:color w:val="000000"/>
          <w:sz w:val="22"/>
        </w:rPr>
        <w:t xml:space="preserve">【Cross-ref】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Main Charter Article 95, Article 96, Article 96-2, Article 96-3; Article 144.</w:t>
      </w:r>
    </w:p>
    <w:bookmarkEnd w:id="217"/>
    <w:bookmarkStart w:id="218" w:name="sub-commentary-to-article-3-article-96-3"/>
    <w:p>
      <w:pPr>
        <w:pStyle w:val="Heading3"/>
        <w:spacing w:after="120" w:line="312" w:lineRule="auto"/>
        <w:jc w:val="left"/>
      </w:pPr>
      <w:r>
        <w:rPr>
          <w:rFonts w:ascii="DejaVu Serif" w:hAnsi="DejaVu Serif" w:eastAsia="Noto Serif CJK SC"/>
          <w:color w:val="000000"/>
          <w:sz w:val="26"/>
        </w:rPr>
        <w:t xml:space="preserve">Sub-commentary to Article 3 [Article 96-3]</w:t>
      </w:r>
    </w:p>
    <w:p>
      <w:pPr>
        <w:pStyle w:val="FirstParagraph"/>
        <w:spacing w:after="120" w:line="312" w:lineRule="auto"/>
      </w:pPr>
      <w:r>
        <w:rPr>
          <w:rFonts w:ascii="DejaVu Serif" w:hAnsi="DejaVu Serif" w:eastAsia="Noto Serif CJK SC"/>
          <w:b/>
          <w:bCs/>
          <w:color w:val="000000"/>
          <w:sz w:val="22"/>
        </w:rPr>
        <w:t xml:space="preserve">【Statute】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96-3 [Boundary of the Meaning of Article 96-2’s Content and the Main Text of Article 96’s Expression] The content of Article 96-2 and the main text of Article 96 do not constitute an expression prohibiting or restricting the individual from cooperating with a specific political party of the individual’s nationality as a collaborator, nor do they imply a reduction in the intensity, depth, or breadth of cooperation with it.</w:t>
      </w:r>
    </w:p>
    <w:p>
      <w:pPr>
        <w:pStyle w:val="BodyText"/>
        <w:spacing w:after="120" w:line="312" w:lineRule="auto"/>
      </w:pPr>
      <w:r>
        <w:rPr>
          <w:rFonts w:ascii="DejaVu Serif" w:hAnsi="DejaVu Serif" w:eastAsia="Noto Serif CJK SC"/>
          <w:b/>
          <w:bCs/>
          <w:color w:val="000000"/>
          <w:sz w:val="22"/>
        </w:rPr>
        <w:t xml:space="preserve">【Commentary】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Sub-commentary: This Article is 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boundary clause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intended to prevent misinterpretation. Since Article 96-2 speaks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exemption,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two misinterpretations are easily generated: one is to mistakenly believe that the main text of Article 96 prohibits all dealings with any political party; the other is to mistakenly believe that once an exemption is invoked, cooperation must be reduced in intensity, lessened in depth, and narrowed in breadth. This Article uses two negative sentences—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does not constitute a prohibition or restriction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does not imply a reduction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—to sweep away both misinterpretations at once.</w:t>
      </w:r>
    </w:p>
    <w:p>
      <w:pPr>
        <w:pStyle w:val="BodyText"/>
        <w:spacing w:after="120" w:line="312" w:lineRule="auto"/>
      </w:pPr>
      <w:r>
        <w:rPr>
          <w:rFonts w:ascii="DejaVu Serif" w:hAnsi="DejaVu Serif" w:eastAsia="Noto Serif CJK SC"/>
          <w:b/>
          <w:bCs/>
          <w:color w:val="000000"/>
          <w:sz w:val="22"/>
        </w:rPr>
        <w:t xml:space="preserve">【Discussion】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Discussion: The key to this Article lies in distinguishing between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individual’s relationship with a political party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individual’s relationship with a political party of the individual’s nationality as a collaborator.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former is bound by Articles 95 and 96; the latter pertains to matters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cooperation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is treated the same as cooperation with any other party. Therefore, a specific political party of the individual’s nationality, if it is the collaborating party, holds a status no different from other collaborators; it is neither prohibited by the main text of Article 96 nor diminished by invoking the exemption. This is what is meant by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addressing the matter, not the entity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what is examined is the legality and necessity of the cooperation itself, not the political attributes of the other party.</w:t>
      </w:r>
    </w:p>
    <w:p>
      <w:pPr>
        <w:pStyle w:val="BodyText"/>
        <w:spacing w:after="120" w:line="312" w:lineRule="auto"/>
      </w:pPr>
      <w:r>
        <w:rPr>
          <w:rFonts w:ascii="DejaVu Serif" w:hAnsi="DejaVu Serif" w:eastAsia="Noto Serif CJK SC"/>
          <w:b/>
          <w:bCs/>
          <w:color w:val="000000"/>
          <w:sz w:val="22"/>
        </w:rPr>
        <w:t xml:space="preserve">【Question】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Does this Article, which states that cooperation must not diminish in intensity, depth, or breadth, conflict with Article 96-2’s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not necessarily requiring… unnecessary partisan activities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b/>
          <w:bCs/>
          <w:color w:val="000000"/>
          <w:sz w:val="22"/>
        </w:rPr>
        <w:t xml:space="preserve">【Answer】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There is no conflict. What Article 96-2 restricts is the participation in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unnecessary partisan activities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what this Article protects is the cooperation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political parties as partners.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former pertains to</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one’s own activities,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while the latter pertains to</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one’s own cooperation.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They are of different hierarchical levels and each has its proper place.</w:t>
      </w:r>
    </w:p>
    <w:p>
      <w:pPr>
        <w:pStyle w:val="BodyText"/>
        <w:spacing w:after="120" w:line="312" w:lineRule="auto"/>
      </w:pPr>
      <w:r>
        <w:rPr>
          <w:rFonts w:ascii="DejaVu Serif" w:hAnsi="DejaVu Serif" w:eastAsia="Noto Serif CJK SC"/>
          <w:b/>
          <w:bCs/>
          <w:color w:val="000000"/>
          <w:sz w:val="22"/>
        </w:rPr>
        <w:t xml:space="preserve">【Cross-ref】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Main Charter Articles 95, 96, 96-2, and 96-3.</w:t>
      </w:r>
    </w:p>
    <w:p>
      <w:pPr>
        <w:spacing w:after="120" w:line="312" w:lineRule="auto"/>
      </w:pPr>
      <w:r>
        <w:rPr>
          <w:rFonts w:ascii="DejaVu Serif" w:hAnsi="DejaVu Serif" w:eastAsia="Noto Serif CJK SC"/>
          <w:color w:val="000000"/>
          <w:sz w:val="22"/>
        </w:rPr>
        <w:pict>
          <v:rect style="width:0;height:1.5pt" o:hralign="center" o:hrstd="t" o:hr="t"/>
        </w:pict>
      </w:r>
    </w:p>
    <w:bookmarkEnd w:id="218"/>
    <w:bookmarkEnd w:id="219"/>
    <w:bookmarkStart w:id="226" w:name="Xe6c1f4070d578b94b4431b9da87c84dc6ee7682"/>
    <w:p>
      <w:pPr>
        <w:pStyle w:val="Heading2"/>
        <w:spacing w:after="160" w:line="312" w:lineRule="auto"/>
        <w:jc w:val="left"/>
      </w:pPr>
      <w:r>
        <w:rPr>
          <w:rFonts w:ascii="DejaVu Serif" w:hAnsi="DejaVu Serif" w:eastAsia="Noto Serif CJK SC"/>
          <w:color w:val="000000"/>
          <w:sz w:val="30"/>
        </w:rPr>
        <w:t xml:space="preserve">Volume III Sub-commentary on the</w:t>
      </w:r>
      <w:r>
        <w:rPr>
          <w:rFonts w:ascii="DejaVu Serif" w:hAnsi="DejaVu Serif" w:eastAsia="Noto Serif CJK SC"/>
          <w:color w:val="000000"/>
          <w:sz w:val="30"/>
        </w:rPr>
        <w:t xml:space="preserve"> </w:t>
      </w:r>
      <w:r>
        <w:rPr>
          <w:rFonts w:ascii="DejaVu Serif" w:hAnsi="DejaVu Serif" w:eastAsia="Noto Serif CJK SC"/>
          <w:color w:val="000000"/>
          <w:sz w:val="30"/>
        </w:rPr>
        <w:t xml:space="preserve">“</w:t>
      </w:r>
      <w:r>
        <w:rPr>
          <w:rFonts w:ascii="DejaVu Serif" w:hAnsi="DejaVu Serif" w:eastAsia="Noto Serif CJK SC"/>
          <w:color w:val="000000"/>
          <w:sz w:val="30"/>
        </w:rPr>
        <w:t xml:space="preserve">Cosmic, Globalized and Internationalized Charter of Life Action Third Amendment</w:t>
      </w:r>
      <w:r>
        <w:rPr>
          <w:rFonts w:ascii="DejaVu Serif" w:hAnsi="DejaVu Serif" w:eastAsia="Noto Serif CJK SC"/>
          <w:color w:val="000000"/>
          <w:sz w:val="30"/>
        </w:rPr>
        <w:t xml:space="preserve">”</w:t>
      </w:r>
      <w:r>
        <w:rPr>
          <w:rFonts w:ascii="DejaVu Serif" w:hAnsi="DejaVu Serif" w:eastAsia="Noto Serif CJK SC"/>
          <w:color w:val="000000"/>
          <w:sz w:val="30"/>
        </w:rPr>
        <w:t xml:space="preserve"> </w:t>
      </w:r>
      <w:r>
        <w:rPr>
          <w:rFonts w:ascii="DejaVu Serif" w:hAnsi="DejaVu Serif" w:eastAsia="Noto Serif CJK SC"/>
          <w:color w:val="000000"/>
          <w:sz w:val="30"/>
        </w:rPr>
        <w:t xml:space="preserve">(Annex A.03.001·Amendment concerning matters related to creditor-debt handling)</w:t>
      </w:r>
    </w:p>
    <w:p>
      <w:pPr>
        <w:pStyle w:val="FirstParagraph"/>
        <w:spacing w:after="120" w:line="312" w:lineRule="auto"/>
      </w:pPr>
      <w:r>
        <w:rPr>
          <w:rFonts w:ascii="DejaVu Serif" w:hAnsi="DejaVu Serif" w:eastAsia="Noto Serif CJK SC"/>
          <w:b/>
          <w:bCs/>
          <w:color w:val="000000"/>
          <w:sz w:val="22"/>
        </w:rPr>
        <w:t xml:space="preserve">This Chapter’s Sub-commentary states</w:t>
      </w:r>
      <w:r>
        <w:rPr>
          <w:rFonts w:ascii="DejaVu Serif" w:hAnsi="DejaVu Serif" w:eastAsia="Noto Serif CJK SC"/>
          <w:color w:val="000000"/>
          <w:sz w:val="22"/>
        </w:rPr>
        <w:t xml:space="preserve">: The Third Amendment is one of the most operationally oriented volumes within the amendment system. It is based on the amendment authority granted by Main Charter Articles 122 and 126, adding five articles after Article 68, namely Articles 68-2 through 68-6 (Article 1 of the Amendment’s main text states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adding four articles,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yet the listed article numbers are actually five; therefore, this section provides a sub-commentary on each listed article number, with the discrepancy in article count being determined by the article numbers listed in the authentic text). It has two systems: one called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Establishing Trust,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which is the fundamental principle of debt clearance, taking</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trust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its basis, acknowledging all legally valid debts confirmed by contract or fact, and never illegally abolishing or denying them; the other called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Discerning Malice,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which is a graded response mechanism for creditor communication attitudes, accompanied by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Expected Realization Effect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principle, evidence preservation and procedural justice, and prior declaration and notification.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Establishing Trust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maintains the constant;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Discerning Malice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addresses the variable. The constant and the variable complement each other, which is the essential purpose of this volume. All citations in this section are abbreviated; the full text shall be governed by the authentic text.</w:t>
      </w:r>
    </w:p>
    <w:bookmarkStart w:id="220" w:name="Xac3b958c2629d6c5baa0da55b9dab1a3c01447c"/>
    <w:p>
      <w:pPr>
        <w:pStyle w:val="Heading3"/>
        <w:spacing w:after="120" w:line="312" w:lineRule="auto"/>
        <w:jc w:val="left"/>
      </w:pPr>
      <w:r>
        <w:rPr>
          <w:rFonts w:ascii="DejaVu Serif" w:hAnsi="DejaVu Serif" w:eastAsia="Noto Serif CJK SC"/>
          <w:color w:val="000000"/>
          <w:sz w:val="26"/>
        </w:rPr>
        <w:t xml:space="preserve">Sub-commentary on Article 1 [Additions concerning debt clearance] and Article 3 [Effective Date] [Retrospective Effect]</w:t>
      </w:r>
    </w:p>
    <w:p>
      <w:pPr>
        <w:pStyle w:val="FirstParagraph"/>
        <w:spacing w:after="120" w:line="312" w:lineRule="auto"/>
      </w:pPr>
      <w:r>
        <w:rPr>
          <w:rFonts w:ascii="DejaVu Serif" w:hAnsi="DejaVu Serif" w:eastAsia="Noto Serif CJK SC"/>
          <w:b/>
          <w:bCs/>
          <w:color w:val="000000"/>
          <w:sz w:val="22"/>
        </w:rPr>
        <w:t xml:space="preserve">【Statute】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1: To clarify the life principles concerning debt clearance and regulate life governance, based on the amendment authority granted by this Charter’s Articles 122 and 126, four articles are now added after Article 68, to be designated as Articles 68-2, 68-3, 68-4, 68-5, and 68-6. Article 3: This Amendment shall take effect from the date of signing, but if the disposition of pending creditor-debt relationships that is retroactive is more conducive to achieving a peaceful and fair resolution, it may be applied retroactively with reference.</w:t>
      </w:r>
    </w:p>
    <w:p>
      <w:pPr>
        <w:pStyle w:val="BodyText"/>
        <w:spacing w:after="120" w:line="312" w:lineRule="auto"/>
      </w:pPr>
      <w:r>
        <w:rPr>
          <w:rFonts w:ascii="DejaVu Serif" w:hAnsi="DejaVu Serif" w:eastAsia="Noto Serif CJK SC"/>
          <w:b/>
          <w:bCs/>
          <w:color w:val="000000"/>
          <w:sz w:val="22"/>
        </w:rPr>
        <w:t xml:space="preserve">【Commentary】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Sub-commentary states: An amendment must have its source of authority. This Amendment explicitly states its basis as Article 122 (authority over enactment, modification, partial repeal, and full repeal) and Article 126 (latest Charter application principle); the former 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authority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the latter 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procedure.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Once authority is established, the amendment has its basis; once procedure is established, the old and new are in order. The establishment of this origin is not mere formality: in all matters concerning debt, if there is a conflict between old and new texts, the latest shall prevail according to Article 126. As for why this volume lists five article numbers while the main text states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four articles,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this pertains to the original text’s own record; the sub-commentator provides a sub-commentary on each listed article number, not masking the substance of the articles with the numerical count.</w:t>
      </w:r>
    </w:p>
    <w:p>
      <w:pPr>
        <w:pStyle w:val="BodyText"/>
        <w:spacing w:after="120" w:line="312" w:lineRule="auto"/>
      </w:pPr>
      <w:r>
        <w:rPr>
          <w:rFonts w:ascii="DejaVu Serif" w:hAnsi="DejaVu Serif" w:eastAsia="Noto Serif CJK SC"/>
          <w:b/>
          <w:bCs/>
          <w:color w:val="000000"/>
          <w:sz w:val="22"/>
        </w:rPr>
        <w:t xml:space="preserve">【Discussion】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Discussion states: The retroactivity of this Amendment differs from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retroactive to the day before implementation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of the First and Second Amendments. Its retroactivity is conditional 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being more beneficial</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retroactive application may be referred to only when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disposition of pending creditor-debt relationships that is retroactive is more conducive to achieving a peaceful and fair resolution.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Therefore, its retroactivity 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selective retroactivity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interest-oriented retroactivity,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not general retroactivity. This precisely reflects the characteristics of debt matters: disputes over debts aim for peaceful and fair resolution, not for the superiority of legal forms; hence, the benefit of the outcome determines whether retroactivity applies.</w:t>
      </w:r>
    </w:p>
    <w:p>
      <w:pPr>
        <w:pStyle w:val="BodyText"/>
        <w:spacing w:after="120" w:line="312" w:lineRule="auto"/>
      </w:pPr>
      <w:r>
        <w:rPr>
          <w:rFonts w:ascii="DejaVu Serif" w:hAnsi="DejaVu Serif" w:eastAsia="Noto Serif CJK SC"/>
          <w:b/>
          <w:bCs/>
          <w:color w:val="000000"/>
          <w:sz w:val="22"/>
        </w:rPr>
        <w:t xml:space="preserve">【Question】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This Amendment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takes effect from the date of signing,</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yet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Date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field in the original text is left blank; what is its effect?</w:t>
      </w:r>
      <w:r>
        <w:rPr>
          <w:rFonts w:ascii="DejaVu Serif" w:hAnsi="DejaVu Serif" w:eastAsia="Noto Serif CJK SC"/>
          <w:color w:val="000000"/>
          <w:sz w:val="22"/>
        </w:rPr>
        <w:t xml:space="preserve"> </w:t>
      </w:r>
      <w:r>
        <w:rPr>
          <w:rFonts w:ascii="DejaVu Serif" w:hAnsi="DejaVu Serif" w:eastAsia="Noto Serif CJK SC"/>
          <w:b/>
          <w:bCs/>
          <w:color w:val="000000"/>
          <w:sz w:val="22"/>
        </w:rPr>
        <w:t xml:space="preserve">【Answer】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Following the established format of the First and Second Amendments, the signing date is the effective date; since this Article states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takes effect from the date of signing,</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actual date of signing shall prevail. For any matter not specified, it shall be determined by the date when the text is recorded and implemented, which is precisely the extended application of Main Charter Article 127</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Charter Effective Date.</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b/>
          <w:bCs/>
          <w:color w:val="000000"/>
          <w:sz w:val="22"/>
        </w:rPr>
        <w:t xml:space="preserve">【Cross-ref】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Main Charter Articles 6, 68, 122, 126, and 127.</w:t>
      </w:r>
    </w:p>
    <w:bookmarkEnd w:id="220"/>
    <w:bookmarkStart w:id="221" w:name="X6e4eaeef5194450546c04510a7f1b135d8da9cf"/>
    <w:p>
      <w:pPr>
        <w:pStyle w:val="Heading3"/>
        <w:spacing w:after="120" w:line="312" w:lineRule="auto"/>
        <w:jc w:val="left"/>
      </w:pPr>
      <w:r>
        <w:rPr>
          <w:rFonts w:ascii="DejaVu Serif" w:hAnsi="DejaVu Serif" w:eastAsia="Noto Serif CJK SC"/>
          <w:color w:val="000000"/>
          <w:sz w:val="26"/>
        </w:rPr>
        <w:t xml:space="preserve">Sub-commentary on Article 2, Paragraph 1 (newly added Article 68-2)</w:t>
      </w:r>
    </w:p>
    <w:p>
      <w:pPr>
        <w:pStyle w:val="FirstParagraph"/>
        <w:spacing w:after="120" w:line="312" w:lineRule="auto"/>
      </w:pPr>
      <w:r>
        <w:rPr>
          <w:rFonts w:ascii="DejaVu Serif" w:hAnsi="DejaVu Serif" w:eastAsia="Noto Serif CJK SC"/>
          <w:b/>
          <w:bCs/>
          <w:color w:val="000000"/>
          <w:sz w:val="22"/>
        </w:rPr>
        <w:t xml:space="preserve">【Statute】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68-2 [Fundamental Principles of Debt Clearance] In establishing oneself in the world, trust is the essential principle. For all legally valid debts confirmed by contract or fact, one shall acknowledge their legality and bear the obligation to clear them, never illegally abolishing or denying them, and consider the clearance responsibility inescapable. This is the cornerstone of business activities and also a manifestation of personal integrity and credibility.</w:t>
      </w:r>
    </w:p>
    <w:p>
      <w:pPr>
        <w:pStyle w:val="BodyText"/>
        <w:spacing w:after="120" w:line="312" w:lineRule="auto"/>
      </w:pPr>
      <w:r>
        <w:rPr>
          <w:rFonts w:ascii="DejaVu Serif" w:hAnsi="DejaVu Serif" w:eastAsia="Noto Serif CJK SC"/>
          <w:b/>
          <w:bCs/>
          <w:color w:val="000000"/>
          <w:sz w:val="22"/>
        </w:rPr>
        <w:t xml:space="preserve">【Commentary】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Sub-commentary states: This Article is the cornerstone of the entire volume. It takes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trust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the single character’s foundation, and the implementation of trust lies in the two matters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acknowledgment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clearance.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Main Charter Article 6 has already established the principle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prudent commitment, utmost good faith</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this Article extends this to the realm of debt, hence having the meaning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connecting with this Charter’s Article 6.</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reason debt clearance must be included in the Charter is that life is lived across nations and assets are distributed across multiple locations; without self-imposed discipline for clearance, once credit is lost, all matters will fail; it is not merely a loss of money, but a loss of personal integrity and credibility.</w:t>
      </w:r>
    </w:p>
    <w:p>
      <w:pPr>
        <w:pStyle w:val="BodyText"/>
        <w:spacing w:after="120" w:line="312" w:lineRule="auto"/>
      </w:pPr>
      <w:r>
        <w:rPr>
          <w:rFonts w:ascii="DejaVu Serif" w:hAnsi="DejaVu Serif" w:eastAsia="Noto Serif CJK SC"/>
          <w:b/>
          <w:bCs/>
          <w:color w:val="000000"/>
          <w:sz w:val="22"/>
        </w:rPr>
        <w:t xml:space="preserve">【Discussion】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【Discussion】 states: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Legitimate debt confirmed by contract or fact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serves to define the scope of debt. It has three elements: first,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legitimate,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thus illegal debts are excluded; second, confirmed by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contract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fact,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thus written contracts are not the sole basis, and anything verifiable by fact is included; third,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acknowledging its legitimacy and bearing the obligation to repay,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thus both acknowledgment and repayment are obligations, not optional choices.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Never to be illegally abolished or denied,</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word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illegal</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limits it to mean that it cannot be abolished or denied by unlawful means;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liability for repayment cannot be evaded,</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four words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cannot be evaded</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seal off all paths of transfer and evasion. The phrases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cornerstone of commercial activities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embodiment of personal integrity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address the external (commercial) and internal (personal) aspects respectively, thus this Article is not purely economic in nature, but also possesses the character of a personal provision.</w:t>
      </w:r>
    </w:p>
    <w:p>
      <w:pPr>
        <w:pStyle w:val="BodyText"/>
        <w:spacing w:after="120" w:line="312" w:lineRule="auto"/>
      </w:pPr>
      <w:r>
        <w:rPr>
          <w:rFonts w:ascii="DejaVu Serif" w:hAnsi="DejaVu Serif" w:eastAsia="Noto Serif CJK SC"/>
          <w:b/>
          <w:bCs/>
          <w:color w:val="000000"/>
          <w:sz w:val="22"/>
        </w:rPr>
        <w:t xml:space="preserve">【Question】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Since this Article states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liability for repayment cannot be evaded,</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does it conflict with Article 68-4</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adjusting the repayment order of the creditor’s debt to the last priority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b/>
          <w:bCs/>
          <w:color w:val="000000"/>
          <w:sz w:val="22"/>
        </w:rPr>
        <w:t xml:space="preserve">【Answer】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No, there is no conflict. This Article stipulates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liability,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while Article 68-4 stipulates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order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liability is inescapable, while order can be adjusted according to law. Therefore, the first item of the proviso to Article 68-4 explicitly states: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What is adjusted by this principle is only the order and timing of repayment, by no means the liability and obligation of repayment.</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b/>
          <w:bCs/>
          <w:color w:val="000000"/>
          <w:sz w:val="22"/>
        </w:rPr>
        <w:t xml:space="preserve">【Cross-ref】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Main Charter Article 6, Article 68, Article 68-3, Article 68-4, Article 68-5, Article 68-6; Annex D.02.001</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Great Canon of Safe Life Action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relevant parts.</w:t>
      </w:r>
    </w:p>
    <w:bookmarkEnd w:id="221"/>
    <w:bookmarkStart w:id="222" w:name="X4104a3b0f4ab54fc77ae7d60b67907a701acc93"/>
    <w:p>
      <w:pPr>
        <w:pStyle w:val="Heading3"/>
        <w:spacing w:after="120" w:line="312" w:lineRule="auto"/>
        <w:jc w:val="left"/>
      </w:pPr>
      <w:r>
        <w:rPr>
          <w:rFonts w:ascii="DejaVu Serif" w:hAnsi="DejaVu Serif" w:eastAsia="Noto Serif CJK SC"/>
          <w:color w:val="000000"/>
          <w:sz w:val="26"/>
        </w:rPr>
        <w:t xml:space="preserve">Sub-commentary to Article 2, Paragraph 2 (adding Article 68-3)</w:t>
      </w:r>
    </w:p>
    <w:p>
      <w:pPr>
        <w:pStyle w:val="FirstParagraph"/>
        <w:spacing w:after="120" w:line="312" w:lineRule="auto"/>
      </w:pPr>
      <w:r>
        <w:rPr>
          <w:rFonts w:ascii="DejaVu Serif" w:hAnsi="DejaVu Serif" w:eastAsia="Noto Serif CJK SC"/>
          <w:b/>
          <w:bCs/>
          <w:color w:val="000000"/>
          <w:sz w:val="22"/>
        </w:rPr>
        <w:t xml:space="preserve">【Statute】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68-3 【Graded Response Mechanism for Creditor Communication Attitude】 However, in order to maintain goodwill and harmony in commercial dealings and optimize transaction costs, a graded response mechanism is established based on the creditor’s communication attitude: (1) Friendly Cooperation Level: For creditors who consistently uphold goodwill and communicate rationally, repayment should be prioritized when their debts become due, or convenience in performance should be given under equivalent conditions, in order to nurture and consolidate a positive interactive business ecosystem. (2) Malicious Speculation Level: For those who speculate on and demand repayment by means of malicious provocation, public insult, or defamation of character without factual basis,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Expected Realization Effect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principle established in this Charter’s Article 68-4 shall apply.</w:t>
      </w:r>
    </w:p>
    <w:p>
      <w:pPr>
        <w:pStyle w:val="BodyText"/>
        <w:spacing w:after="120" w:line="312" w:lineRule="auto"/>
      </w:pPr>
      <w:r>
        <w:rPr>
          <w:rFonts w:ascii="DejaVu Serif" w:hAnsi="DejaVu Serif" w:eastAsia="Noto Serif CJK SC"/>
          <w:b/>
          <w:bCs/>
          <w:color w:val="000000"/>
          <w:sz w:val="22"/>
        </w:rPr>
        <w:t xml:space="preserve">【Commentary】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【Sub-commentary】 states: This Article establishes 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graded response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system. The purpose of its legislation is not punishment, but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optimizing transaction costs.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the relationship of debt, the quality of communication attitude directly affects the efficiency of repayment; if the good and the bad are treated equally, then the goodwill-hearted will become disheartened, and the malicious will succeed in their schemes. Therefore, two levels are established: one is the Friendly Cooperation Level, and the other is the Malicious Speculation Level. The difference between the two levels lies not in the existence of the debt, but in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attitude of communication.</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b/>
          <w:bCs/>
          <w:color w:val="000000"/>
          <w:sz w:val="22"/>
        </w:rPr>
        <w:t xml:space="preserve">【Discussion】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【Discussion】 states: The treatment for the Friendly Cooperation Level has two aspects: first,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prioritize repayment arrangement when the debt becomes due,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second,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give convenience in performance under equivalent conditions.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Both are forms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preferential treatment,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not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abandonment of responsibility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to nurture and consolidate a positive interactive business ecosystem</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is its purpose clause, thus the preferential treatment is not a personal favor, but for the cultivation of the ecosystem. The requirements for the Malicious Speculation Level are three: first,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without factual basis,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second,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by means of malicious provocation, public insult, or defamation of character,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third, the act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speculating on and demanding repayment.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Only when all three are present does one enter this level. Therefore, any legitimate demand with factual basis, even if the attitude is somewhat stern, does not automatically enter this level; and anyone who uses insult or defamation of character as a means, even if the debt is genuine, enters this level. This is what is meant by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judging attitude by means.</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b/>
          <w:bCs/>
          <w:color w:val="000000"/>
          <w:sz w:val="22"/>
        </w:rPr>
        <w:t xml:space="preserve">【Question】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Who determines the difference between goodwill and malice?</w:t>
      </w:r>
      <w:r>
        <w:rPr>
          <w:rFonts w:ascii="DejaVu Serif" w:hAnsi="DejaVu Serif" w:eastAsia="Noto Serif CJK SC"/>
          <w:color w:val="000000"/>
          <w:sz w:val="22"/>
        </w:rPr>
        <w:t xml:space="preserve"> </w:t>
      </w:r>
      <w:r>
        <w:rPr>
          <w:rFonts w:ascii="DejaVu Serif" w:hAnsi="DejaVu Serif" w:eastAsia="Noto Serif CJK SC"/>
          <w:b/>
          <w:bCs/>
          <w:color w:val="000000"/>
          <w:sz w:val="22"/>
        </w:rPr>
        <w:t xml:space="preserve">【Answer】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According to the provisions of Article 68-5, the evidence of their conduct must be completely fixed in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legal forms such as recordings, screenshots, and documents,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thus determination is based on objective evidence, not on the feelings of one party. Those without evidence cannot be labeled as malicious; and even with evidence that does not meet the three requirements, one cannot directly enter the Malicious Speculation Level.</w:t>
      </w:r>
    </w:p>
    <w:p>
      <w:pPr>
        <w:pStyle w:val="BodyText"/>
        <w:spacing w:after="120" w:line="312" w:lineRule="auto"/>
      </w:pPr>
      <w:r>
        <w:rPr>
          <w:rFonts w:ascii="DejaVu Serif" w:hAnsi="DejaVu Serif" w:eastAsia="Noto Serif CJK SC"/>
          <w:b/>
          <w:bCs/>
          <w:color w:val="000000"/>
          <w:sz w:val="22"/>
        </w:rPr>
        <w:t xml:space="preserve">【Cross-ref】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Main Charter Article 68-2, Article 68-4, Article 68-5, Article 69.</w:t>
      </w:r>
    </w:p>
    <w:bookmarkEnd w:id="222"/>
    <w:bookmarkStart w:id="223" w:name="X9a3b533109086af783cee4d69e2ad5a36a6ddcb"/>
    <w:p>
      <w:pPr>
        <w:pStyle w:val="Heading3"/>
        <w:spacing w:after="120" w:line="312" w:lineRule="auto"/>
        <w:jc w:val="left"/>
      </w:pPr>
      <w:r>
        <w:rPr>
          <w:rFonts w:ascii="DejaVu Serif" w:hAnsi="DejaVu Serif" w:eastAsia="Noto Serif CJK SC"/>
          <w:color w:val="000000"/>
          <w:sz w:val="26"/>
        </w:rPr>
        <w:t xml:space="preserve">Sub-commentary to Article 2, Paragraph 3 (adding Article 68-4)</w:t>
      </w:r>
    </w:p>
    <w:p>
      <w:pPr>
        <w:pStyle w:val="FirstParagraph"/>
        <w:spacing w:after="120" w:line="312" w:lineRule="auto"/>
      </w:pPr>
      <w:r>
        <w:rPr>
          <w:rFonts w:ascii="DejaVu Serif" w:hAnsi="DejaVu Serif" w:eastAsia="Noto Serif CJK SC"/>
          <w:b/>
          <w:bCs/>
          <w:color w:val="000000"/>
          <w:sz w:val="22"/>
        </w:rPr>
        <w:t xml:space="preserve">【Statute】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68-4 【Application of the Expected Realization Effect Principle】 (a) When a creditor exhibits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Malicious Speculation Level</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conduct as described in Paragraph (2) of this Charter’s Article 68-3, I will initiate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Expected Realization Effect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principle as a systematic response. (b) Core meaning: The creditor’s malicious expectation that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 intend to default on the debt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will be realized at the regulatory level in the manner they least desire—that is, I will strictly exercise, to the maximum extent permitted by law, my right as a debtor to choose the order of performance, adjusting the repayment order of the creditor’s debt to the last priority. (c) Proviso: The application of this principle must adhere to the following insurmountable bottom lines: (1) It must not violate the mandatory legal provisions on the repayment order of debts with statutory priority rights such as secured property rights. (2) It must not violate the agreed repayment terms in a concluded contract, thereby constituting statutory or contractual breach. (3) What is adjusted by this principle is only the order and timing of repayment, by no means the liability and obligation of repayment.</w:t>
      </w:r>
    </w:p>
    <w:p>
      <w:pPr>
        <w:pStyle w:val="BodyText"/>
        <w:spacing w:after="120" w:line="312" w:lineRule="auto"/>
      </w:pPr>
      <w:r>
        <w:rPr>
          <w:rFonts w:ascii="DejaVu Serif" w:hAnsi="DejaVu Serif" w:eastAsia="Noto Serif CJK SC"/>
          <w:b/>
          <w:bCs/>
          <w:color w:val="000000"/>
          <w:sz w:val="22"/>
        </w:rPr>
        <w:t xml:space="preserve">【Commentary】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Sub-commentary: This Article is the core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Malicious Creditor Identification and Response.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Its name is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Expected Realization Effect,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its meaning lies in inverting expectations: when a malicious creditor expects the debtor to default, the debtor responds by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not defaulting but changing the order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the more malicious their expectation, the more the outcome aligns with their expectation—yet their expectation cannot be fulfilled, hence it is said to be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realized at the regulatory level in the manner they least desire.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This is not retaliation, but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responding to rules with rules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it is clearly bounded by the phrases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within the maximum extent permitted by law</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exercising the debtor’s right to choose the order of performance.</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b/>
          <w:bCs/>
          <w:color w:val="000000"/>
          <w:sz w:val="22"/>
        </w:rPr>
        <w:t xml:space="preserve">【Discussion】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Discussion: This Article has three paragraphs: the first sets forth the conditions for initiation, the second the effects, and the third the baseline, forming a tightly structured whole. Initiation is contingent upon the determination under Article 68-3(2), hence no determination means no initiation; the key term in paragraph (b) 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right to choose the order of performance,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which is a right granted to the debtor by law, therefore what is exercised here is 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right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rather than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self-help</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strictly within the maximum extent permitted by law</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is its overarching limitation. The word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last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indicates its effect, yet it is still subject to the qualification in the first proviso: the order of debts with statutory priority rights (such as those with security interests) is mandatory and cannot be postponed by this principle; it is also subject to the qualification in the second proviso: agreed-upon clear repayment deadlines must not be violated; and it is also subject to the qualification in the third proviso: only the order and time are adjusted, while liability and obligation remain unchanged. The three provisos are like three dikes; as long as the dikes are not destroyed, the water will not overflow.</w:t>
      </w:r>
    </w:p>
    <w:p>
      <w:pPr>
        <w:pStyle w:val="BodyText"/>
        <w:spacing w:after="120" w:line="312" w:lineRule="auto"/>
      </w:pPr>
      <w:r>
        <w:rPr>
          <w:rFonts w:ascii="DejaVu Serif" w:hAnsi="DejaVu Serif" w:eastAsia="Noto Serif CJK SC"/>
          <w:b/>
          <w:bCs/>
          <w:color w:val="000000"/>
          <w:sz w:val="22"/>
        </w:rPr>
        <w:t xml:space="preserve">【Question】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If a creditor’s debt is neither secured nor has an agreed-upon clear deadline, must it necessarily be adjusted to the last position?</w:t>
      </w:r>
      <w:r>
        <w:rPr>
          <w:rFonts w:ascii="DejaVu Serif" w:hAnsi="DejaVu Serif" w:eastAsia="Noto Serif CJK SC"/>
          <w:color w:val="000000"/>
          <w:sz w:val="22"/>
        </w:rPr>
        <w:t xml:space="preserve"> </w:t>
      </w:r>
      <w:r>
        <w:rPr>
          <w:rFonts w:ascii="DejaVu Serif" w:hAnsi="DejaVu Serif" w:eastAsia="Noto Serif CJK SC"/>
          <w:b/>
          <w:bCs/>
          <w:color w:val="000000"/>
          <w:sz w:val="22"/>
        </w:rPr>
        <w:t xml:space="preserve">【Answer】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Not necessarily. This principle is an activable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systemic response,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not an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automatically applicable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necessity; its application still requires the clarity of facts and procedural justice as stipulated in Article 68-5, and must not violate the three provisos. Hence it is said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will be activated,</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not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is immediately applicable.</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b/>
          <w:bCs/>
          <w:color w:val="000000"/>
          <w:sz w:val="22"/>
        </w:rPr>
        <w:t xml:space="preserve">【Cross-ref】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Main Charter, Article 13; Article 68-2; Article 68-3; Article 68-5; Article 68-6; Main Charter, Article 9.</w:t>
      </w:r>
    </w:p>
    <w:bookmarkEnd w:id="223"/>
    <w:bookmarkStart w:id="224" w:name="Xa835d47a3b977b286ea51ccc73dd45f4c0319b5"/>
    <w:p>
      <w:pPr>
        <w:pStyle w:val="Heading3"/>
        <w:spacing w:after="120" w:line="312" w:lineRule="auto"/>
        <w:jc w:val="left"/>
      </w:pPr>
      <w:r>
        <w:rPr>
          <w:rFonts w:ascii="DejaVu Serif" w:hAnsi="DejaVu Serif" w:eastAsia="Noto Serif CJK SC"/>
          <w:color w:val="000000"/>
          <w:sz w:val="26"/>
        </w:rPr>
        <w:t xml:space="preserve">Sub-commentary to Article 2, Paragraph 4 (newly added Article 68-5)</w:t>
      </w:r>
    </w:p>
    <w:p>
      <w:pPr>
        <w:pStyle w:val="FirstParagraph"/>
        <w:spacing w:after="120" w:line="312" w:lineRule="auto"/>
      </w:pPr>
      <w:r>
        <w:rPr>
          <w:rFonts w:ascii="DejaVu Serif" w:hAnsi="DejaVu Serif" w:eastAsia="Noto Serif CJK SC"/>
          <w:b/>
          <w:bCs/>
          <w:color w:val="000000"/>
          <w:sz w:val="22"/>
        </w:rPr>
        <w:t xml:space="preserve">【Statute】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68-5 【Evidence Preservation and Procedural Justice】 is a prerequisite for applying the principles of Article 68-4, requiring clarity of facts and procedural justice. It is necessary to completely preserve evidence of the creditor’s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malicious speculation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through legal forms such as recordings, screenshots, and documents. This procedure is not for provocation, but to ensure that the response is based on indisputable facts and regulations, in preparation for verification of any form of dispute.</w:t>
      </w:r>
    </w:p>
    <w:p>
      <w:pPr>
        <w:pStyle w:val="BodyText"/>
        <w:spacing w:after="120" w:line="312" w:lineRule="auto"/>
      </w:pPr>
      <w:r>
        <w:rPr>
          <w:rFonts w:ascii="DejaVu Serif" w:hAnsi="DejaVu Serif" w:eastAsia="Noto Serif CJK SC"/>
          <w:b/>
          <w:bCs/>
          <w:color w:val="000000"/>
          <w:sz w:val="22"/>
        </w:rPr>
        <w:t xml:space="preserve">【Commentary】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Sub-commentary: This Article is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procedural prerequisite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for Article 68-4. Whenever a right is exercised, its factual basis must first be established; without facts, the exercise of a right becomes a provocation. Therefore, this Article first establishes the two prerequisites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clarity of facts and procedural justice,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then sets forth the method for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preserving evidence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to</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completely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preserve evidence of the creditor’s conduct through</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legal forms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such as recordings, screenshots, and documents. Its wording is extremely meticulous: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must,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legal,</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complete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are three mandatory limitations.</w:t>
      </w:r>
    </w:p>
    <w:p>
      <w:pPr>
        <w:pStyle w:val="BodyText"/>
        <w:spacing w:after="120" w:line="312" w:lineRule="auto"/>
      </w:pPr>
      <w:r>
        <w:rPr>
          <w:rFonts w:ascii="DejaVu Serif" w:hAnsi="DejaVu Serif" w:eastAsia="Noto Serif CJK SC"/>
          <w:b/>
          <w:bCs/>
          <w:color w:val="000000"/>
          <w:sz w:val="22"/>
        </w:rPr>
        <w:t xml:space="preserve">【Discussion】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Discussion: The phrase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This procedure is not for provocation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is this Article’s self-declaration of purpose. The act of preserving evidence can easily be misinterpreted as an act of escalation, therefore this Article clarifies its purpose as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ensuring that the response is based on indisputable facts and regulations.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four words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indisputable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set the standard: if evidence is insufficient to be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indisputable,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then Article 68-4 does not apply;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in preparation for verification of any form of dispute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states its use: arbitration, litigation, and mediation can all rely on this. Furthermore, the term</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legal forms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echoes Article 68-4’s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within the maximum extent permitted by law,</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therefore any evidence obtained by illegal means will not only be inadmissible but also constitutes a transgression in itself. This Article is a typical example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protecting substance through procedure.</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b/>
          <w:bCs/>
          <w:color w:val="000000"/>
          <w:sz w:val="22"/>
        </w:rPr>
        <w:t xml:space="preserve">【Question】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If a creditor has already demanded payment with insulting words in person, and no recording was made, how should it be handled?</w:t>
      </w:r>
      <w:r>
        <w:rPr>
          <w:rFonts w:ascii="DejaVu Serif" w:hAnsi="DejaVu Serif" w:eastAsia="Noto Serif CJK SC"/>
          <w:color w:val="000000"/>
          <w:sz w:val="22"/>
        </w:rPr>
        <w:t xml:space="preserve"> </w:t>
      </w:r>
      <w:r>
        <w:rPr>
          <w:rFonts w:ascii="DejaVu Serif" w:hAnsi="DejaVu Serif" w:eastAsia="Noto Serif CJK SC"/>
          <w:b/>
          <w:bCs/>
          <w:color w:val="000000"/>
          <w:sz w:val="22"/>
        </w:rPr>
        <w:t xml:space="preserve">【Answer】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This Article sets forth the requirement for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preserving evidence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if an event has occurred but could not be preserved, the prerequisite for applying Article 68-4 is not met, and thus it is not activated; however, it may be supplemented later through other means such as documents or screenshots. Anything not preserved cannot be claimed as a basis for applying this principle.</w:t>
      </w:r>
    </w:p>
    <w:p>
      <w:pPr>
        <w:pStyle w:val="BodyText"/>
        <w:spacing w:after="120" w:line="312" w:lineRule="auto"/>
      </w:pPr>
      <w:r>
        <w:rPr>
          <w:rFonts w:ascii="DejaVu Serif" w:hAnsi="DejaVu Serif" w:eastAsia="Noto Serif CJK SC"/>
          <w:b/>
          <w:bCs/>
          <w:color w:val="000000"/>
          <w:sz w:val="22"/>
        </w:rPr>
        <w:t xml:space="preserve">【Cross-ref】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Main Charter, Article 9; Article 68-3; Article 68-4; Article 68-6.</w:t>
      </w:r>
    </w:p>
    <w:bookmarkEnd w:id="224"/>
    <w:bookmarkStart w:id="225" w:name="X79ec852941b2d8df0d320a06221e6768b49e7ec"/>
    <w:p>
      <w:pPr>
        <w:pStyle w:val="Heading3"/>
        <w:spacing w:after="120" w:line="312" w:lineRule="auto"/>
        <w:jc w:val="left"/>
      </w:pPr>
      <w:r>
        <w:rPr>
          <w:rFonts w:ascii="DejaVu Serif" w:hAnsi="DejaVu Serif" w:eastAsia="Noto Serif CJK SC"/>
          <w:color w:val="000000"/>
          <w:sz w:val="26"/>
        </w:rPr>
        <w:t xml:space="preserve">Sub-commentary to Article 2, Paragraph 5 (newly added Article 68-6)</w:t>
      </w:r>
    </w:p>
    <w:p>
      <w:pPr>
        <w:pStyle w:val="FirstParagraph"/>
        <w:spacing w:after="120" w:line="312" w:lineRule="auto"/>
      </w:pPr>
      <w:r>
        <w:rPr>
          <w:rFonts w:ascii="DejaVu Serif" w:hAnsi="DejaVu Serif" w:eastAsia="Noto Serif CJK SC"/>
          <w:b/>
          <w:bCs/>
          <w:color w:val="000000"/>
          <w:sz w:val="22"/>
        </w:rPr>
        <w:t xml:space="preserve">【Statute】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68-6 【Declaration and Specification of the Principles of Repayment as Stated Above and Notification】 The debtor’s business principles are open and upright. At the beginning of the establishment of the debtor-creditor relationship or at its inception, the response principles set forth in Articles 68-3 to 68-5 of this Charter may be declared or notified to the other party in an appropriate manner that does not constitute a threat, stating that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attitude of communication is an important variable in the efficiency of repayment,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with the aim of guiding positive interaction from the source and reducing unnecessary friction and internal consumption.</w:t>
      </w:r>
    </w:p>
    <w:p>
      <w:pPr>
        <w:pStyle w:val="BodyText"/>
        <w:spacing w:after="120" w:line="312" w:lineRule="auto"/>
      </w:pPr>
      <w:r>
        <w:rPr>
          <w:rFonts w:ascii="DejaVu Serif" w:hAnsi="DejaVu Serif" w:eastAsia="Noto Serif CJK SC"/>
          <w:b/>
          <w:bCs/>
          <w:color w:val="000000"/>
          <w:sz w:val="22"/>
        </w:rPr>
        <w:t xml:space="preserve">【Commentary】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Sub-commentary: This Article establishes the system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prior notification,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so as to</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guide positive interaction from the source.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Articles 68-3 to 68-5 are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post-facto responses,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whereas this Article 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prior clarification.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For all rules, if clarified beforehand, they are rules; if established afterwards, they become obstacles. Therefore, this Article permits the person, at the outset of or upon the occurrence of a debt relationship, to declare or notify their response principles in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an appropriate manner that does not constitute a threat.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reason it must specify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does not constitute a threat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is that the same content, when offered in good faith, is a reminder, but when offered with malice, becomes a threat; thus, its formal requirements are as stated here.</w:t>
      </w:r>
    </w:p>
    <w:p>
      <w:pPr>
        <w:pStyle w:val="BodyText"/>
        <w:spacing w:after="120" w:line="312" w:lineRule="auto"/>
      </w:pPr>
      <w:r>
        <w:rPr>
          <w:rFonts w:ascii="DejaVu Serif" w:hAnsi="DejaVu Serif" w:eastAsia="Noto Serif CJK SC"/>
          <w:b/>
          <w:bCs/>
          <w:color w:val="000000"/>
          <w:sz w:val="22"/>
        </w:rPr>
        <w:t xml:space="preserve">【Discussion】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Discussion: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My business principles are open and upright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is a general introductory statement that first establishes one’s mindset before describing the methods. The terms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declaration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notification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are used together; a declaration is a clarification for oneself and a demonstration to others; a notification is communication to the other party. Its effect is targeted at the statement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attitude of communication is an important variable in the efficiency of debt repayment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—this statement makes no distinction about loyalty or good and evil, but only concerns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efficiency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thus, it is a technical reminder, not a moral accusation, and this is precisely how to avoid the appearance of a threat. As for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reducing unnecessary friction and internal conflict,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 corresponds to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long-term thinking</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of the main Charter’s Article 70; therefore, the establishment of this paragraph is fundamentally rooted in the long term.</w:t>
      </w:r>
    </w:p>
    <w:p>
      <w:pPr>
        <w:pStyle w:val="BodyText"/>
        <w:spacing w:after="120" w:line="312" w:lineRule="auto"/>
      </w:pPr>
      <w:r>
        <w:rPr>
          <w:rFonts w:ascii="DejaVu Serif" w:hAnsi="DejaVu Serif" w:eastAsia="Noto Serif CJK SC"/>
          <w:b/>
          <w:bCs/>
          <w:color w:val="000000"/>
          <w:sz w:val="22"/>
        </w:rPr>
        <w:t xml:space="preserve">【Question】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If the person did not provide notification at the outset of the debt relationship, can Article 68-4 be applied directly?</w:t>
      </w:r>
      <w:r>
        <w:rPr>
          <w:rFonts w:ascii="DejaVu Serif" w:hAnsi="DejaVu Serif" w:eastAsia="Noto Serif CJK SC"/>
          <w:color w:val="000000"/>
          <w:sz w:val="22"/>
        </w:rPr>
        <w:t xml:space="preserve"> </w:t>
      </w:r>
      <w:r>
        <w:rPr>
          <w:rFonts w:ascii="DejaVu Serif" w:hAnsi="DejaVu Serif" w:eastAsia="Noto Serif CJK SC"/>
          <w:b/>
          <w:bCs/>
          <w:color w:val="000000"/>
          <w:sz w:val="22"/>
        </w:rPr>
        <w:t xml:space="preserve">【Answer】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Yes. This Article permits action but does not require it; failure to notify only forfeits the benefit of guidance from the source, and does not thereby cause the loss of the response rights stipulated in Articles 68-3 to 68-5. However, guiding positive interaction from the source is the optimal path, and therefore this Article still uses the word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may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to encourage its practice.</w:t>
      </w:r>
    </w:p>
    <w:p>
      <w:pPr>
        <w:pStyle w:val="BodyText"/>
        <w:spacing w:after="120" w:line="312" w:lineRule="auto"/>
      </w:pPr>
      <w:r>
        <w:rPr>
          <w:rFonts w:ascii="DejaVu Serif" w:hAnsi="DejaVu Serif" w:eastAsia="Noto Serif CJK SC"/>
          <w:b/>
          <w:bCs/>
          <w:color w:val="000000"/>
          <w:sz w:val="22"/>
        </w:rPr>
        <w:t xml:space="preserve">【Cross-ref】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Main Charter Articles 7, 70, 68-2, 68-3, 68-4, 68-5.</w:t>
      </w:r>
    </w:p>
    <w:p>
      <w:pPr>
        <w:spacing w:after="120" w:line="312" w:lineRule="auto"/>
      </w:pPr>
      <w:r>
        <w:rPr>
          <w:rFonts w:ascii="DejaVu Serif" w:hAnsi="DejaVu Serif" w:eastAsia="Noto Serif CJK SC"/>
          <w:color w:val="000000"/>
          <w:sz w:val="22"/>
        </w:rPr>
        <w:pict>
          <v:rect style="width:0;height:1.5pt" o:hralign="center" o:hrstd="t" o:hr="t"/>
        </w:pict>
      </w:r>
    </w:p>
    <w:bookmarkEnd w:id="225"/>
    <w:bookmarkEnd w:id="226"/>
    <w:bookmarkStart w:id="231" w:name="Xfae3bad192be78f0fa812657b6488a46f570a2d"/>
    <w:p>
      <w:pPr>
        <w:pStyle w:val="Heading2"/>
        <w:spacing w:after="160" w:line="312" w:lineRule="auto"/>
        <w:jc w:val="left"/>
      </w:pPr>
      <w:r>
        <w:rPr>
          <w:rFonts w:ascii="DejaVu Serif" w:hAnsi="DejaVu Serif" w:eastAsia="Noto Serif CJK SC"/>
          <w:color w:val="000000"/>
          <w:sz w:val="30"/>
        </w:rPr>
        <w:t xml:space="preserve">Volume IV The Charter of Life Action Amendment 20240609 (Amendment System No. 4) Sub-commentary</w:t>
      </w:r>
    </w:p>
    <w:p>
      <w:pPr>
        <w:pStyle w:val="FirstParagraph"/>
        <w:spacing w:after="120" w:line="312" w:lineRule="auto"/>
      </w:pPr>
      <w:r>
        <w:rPr>
          <w:rFonts w:ascii="DejaVu Serif" w:hAnsi="DejaVu Serif" w:eastAsia="Noto Serif CJK SC"/>
          <w:b/>
          <w:bCs/>
          <w:color w:val="000000"/>
          <w:sz w:val="22"/>
        </w:rPr>
        <w:t xml:space="preserve">This Chapter’s Sub-commentary states</w:t>
      </w:r>
      <w:r>
        <w:rPr>
          <w:rFonts w:ascii="DejaVu Serif" w:hAnsi="DejaVu Serif" w:eastAsia="Noto Serif CJK SC"/>
          <w:color w:val="000000"/>
          <w:sz w:val="22"/>
        </w:rPr>
        <w:t xml:space="preserve">: The 20240609 Amendment is one of the volumes in the Amendment System with the greatest personal and emotional weight. Its main points are three: first, to establish the boyfriend-girlfriend relationship that meets the conditions as the highest level of interpersonal relationship through</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Newly Added Article 121,</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to set strict limitations on divorce; second, to require the person to also comply with the Annex</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Marital Organization Charter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through</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Newly Added Article 122</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third, to establish the man’s commemorative commitment not to remarry within twenty years under specific conditions through</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Newly Added Article 123.</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Among these three matters, the first 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positioning of the relationship,</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second 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reference to norms,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the third 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continuation of the commitment.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Its wording is largely elegant and archaic, while its spirit preserves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seriousness and stability of the commitment.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What is cited in this volume is an excerpt of its essentials; the full text shall be governed by the authentic text.</w:t>
      </w:r>
    </w:p>
    <w:bookmarkStart w:id="227" w:name="X427afef00e5f59edd7ccd8b33f84cbfc0e7c4fe"/>
    <w:p>
      <w:pPr>
        <w:pStyle w:val="Heading3"/>
        <w:spacing w:after="120" w:line="312" w:lineRule="auto"/>
        <w:jc w:val="left"/>
      </w:pPr>
      <w:r>
        <w:rPr>
          <w:rFonts w:ascii="DejaVu Serif" w:hAnsi="DejaVu Serif" w:eastAsia="Noto Serif CJK SC"/>
          <w:color w:val="000000"/>
          <w:sz w:val="26"/>
        </w:rPr>
        <w:t xml:space="preserve">Sub-commentary for Article 121 (Highest Level Recognition of Boyfriend-Girlfriend Relationship)</w:t>
      </w:r>
    </w:p>
    <w:p>
      <w:pPr>
        <w:pStyle w:val="FirstParagraph"/>
        <w:spacing w:after="120" w:line="312" w:lineRule="auto"/>
      </w:pPr>
      <w:r>
        <w:rPr>
          <w:rFonts w:ascii="DejaVu Serif" w:hAnsi="DejaVu Serif" w:eastAsia="Noto Serif CJK SC"/>
          <w:b/>
          <w:bCs/>
          <w:color w:val="000000"/>
          <w:sz w:val="22"/>
        </w:rPr>
        <w:t xml:space="preserve">【Statute】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This Charter adds Article 121:</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 person bound by this constitutional charter, upon becoming boyfriend and girlfriend, mutually recognizing or accepting the other party’s values, and with the intention to plan to stay together for life based on consensus, shall be regarded by me as (quasi) in-laws, the highest level of interpersonal relationship, and I am determined to sacrifice my life for them if absolutely necessary. And divorce is not permitted unless the other party has an inherently irreconcilable discord, is unfaithful and cannot obtain my forgiveness, who is bound by this constitutional charter, or due to differences in life arrangements that truly cannot be reconciled after sufficient efforts, or encounters physical or domestic violence. The person bound by this Charter shall fully attend to the physical, physiological, psychological, or other reasonable needs of the female counterpart, do their utmost to satisfy them, and shall not break up or divorce because of the提出 of the aforementioned reasonable demands.</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b/>
          <w:bCs/>
          <w:color w:val="000000"/>
          <w:sz w:val="22"/>
        </w:rPr>
        <w:t xml:space="preserve">【Commentary】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Sub-commentary: The essence of this Article’s system lies in two matters: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recognition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binding.</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for recognition, it sets three conditions: (1) becoming boyfriend and girlfriend; (2) mutually recognizing or accepting the other party’s values; (3) intending to plan to stay together for life based on consensus. When all three are present, they are regarded as (quasi) in-laws,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highest level of interpersonal relationship.</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Now, the main Charter’s Article 4 ranks values with</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individual right to life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the first item; this Article states that I am determined to offer my life in the event of absolute necessity. This does not contradict Article 4, but is the voluntary extension of Article 4’s first item,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right to life,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the law of relationships—that is, the weight of the relationship is equated with the weight of life. This is the most moving and most solemn aspect of this Article.</w:t>
      </w:r>
    </w:p>
    <w:p>
      <w:pPr>
        <w:pStyle w:val="BodyText"/>
        <w:spacing w:after="120" w:line="312" w:lineRule="auto"/>
      </w:pPr>
      <w:r>
        <w:rPr>
          <w:rFonts w:ascii="DejaVu Serif" w:hAnsi="DejaVu Serif" w:eastAsia="Noto Serif CJK SC"/>
          <w:b/>
          <w:bCs/>
          <w:color w:val="000000"/>
          <w:sz w:val="22"/>
        </w:rPr>
        <w:t xml:space="preserve">【Discussion】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Discussion: The binding force of this Article is the principle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no divorce,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with four exceptions: first, the other party has an inherently irreconcilable discord; second, the other party is unfaithful and cannot obtain the forgiveness of me, who is bound by the charter; third, due to differences in life arrangements that truly cannot be reconciled after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sufficient efforts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fourth, encountering physical or domestic violence. The four words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sufficient efforts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are a procedural requirement: anyone who has not made every effort to reconcile may not invoke the third exception.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Shall fully attend to the physical, physiological, psychological, or other reasonable needs of the female counterpart, and do their utmost to satisfy them</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is a positive obligation;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shall not break up or divorce because of the提出 of the aforementioned reasonable demands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is its prohibitive supplement, because the提出 of reasonable demands shall not become a ground for terminating the relationship. When these two statements are considered together, this Article is not merely a negative clause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no leaving,</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but in fact a positive clause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shall care for.</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b/>
          <w:bCs/>
          <w:color w:val="000000"/>
          <w:sz w:val="22"/>
        </w:rPr>
        <w:t xml:space="preserve">【Question】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This Article, by positioning the boyfriend-girlfriend relationship as 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highest-level interpersonal relationship,</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what is its relationship with the value ranking stipulated in Article 4 of the Charter and the first item of Article 22,</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Long-term Asset Target System,</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Core Person of My Cooperation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b/>
          <w:bCs/>
          <w:color w:val="000000"/>
          <w:sz w:val="22"/>
        </w:rPr>
        <w:t xml:space="preserve">【Answer】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two operate on different levels. What is stipulated in Article 4, Item 22, is the composition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Asset Target System,</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with its core persons listed as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core partners, core shareholders, core executives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what is stipulated in this Article is the hierarchy of interpersonal relationships, with its scope being</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(quasi) relatives.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former is at the asset level, the latter at the personality level; the two can coexist, and the counterpart persons listed in this Article are naturally included within the protection of Article 4, Item 10,</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Individual-Team Life Ideals | Dreams | Visions.</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b/>
          <w:bCs/>
          <w:color w:val="000000"/>
          <w:sz w:val="22"/>
        </w:rPr>
        <w:t xml:space="preserve">【Cross-ref】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1-2, Article 4, Article 33 of the Charter; Article 122, Article 123 of this Volume; Annex C.01.001, Annex C.02.001, Annex C.03.001.</w:t>
      </w:r>
    </w:p>
    <w:bookmarkEnd w:id="227"/>
    <w:bookmarkStart w:id="228" w:name="X3488db74f80c916cd91b54a3ed4650dda7bcfcd"/>
    <w:p>
      <w:pPr>
        <w:pStyle w:val="Heading3"/>
        <w:spacing w:after="120" w:line="312" w:lineRule="auto"/>
        <w:jc w:val="left"/>
      </w:pPr>
      <w:r>
        <w:rPr>
          <w:rFonts w:ascii="DejaVu Serif" w:hAnsi="DejaVu Serif" w:eastAsia="Noto Serif CJK SC"/>
          <w:color w:val="000000"/>
          <w:sz w:val="26"/>
        </w:rPr>
        <w:t xml:space="preserve">Sub-commentary on Article 122 (Reference to the</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Marital Organization Charter</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w:t>
      </w:r>
    </w:p>
    <w:p>
      <w:pPr>
        <w:pStyle w:val="FirstParagraph"/>
        <w:spacing w:after="120" w:line="312" w:lineRule="auto"/>
      </w:pPr>
      <w:r>
        <w:rPr>
          <w:rFonts w:ascii="DejaVu Serif" w:hAnsi="DejaVu Serif" w:eastAsia="Noto Serif CJK SC"/>
          <w:b/>
          <w:bCs/>
          <w:color w:val="000000"/>
          <w:sz w:val="22"/>
        </w:rPr>
        <w:t xml:space="preserve">【Statute】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This Constitution adds Article 122:</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In addition to complying with the text provisions of Article 120 of this constitutional charter, the adherents of this Charter must also comply with the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Marital Organization Charter” listed in the annexes of this constitutional charter (regardless of whether the other party ultimately signs or accepts its original text or amendments).”</w:t>
      </w:r>
    </w:p>
    <w:p>
      <w:pPr>
        <w:pStyle w:val="BodyText"/>
        <w:spacing w:after="120" w:line="312" w:lineRule="auto"/>
      </w:pPr>
      <w:r>
        <w:rPr>
          <w:rFonts w:ascii="DejaVu Serif" w:hAnsi="DejaVu Serif" w:eastAsia="Noto Serif CJK SC"/>
          <w:b/>
          <w:bCs/>
          <w:color w:val="000000"/>
          <w:sz w:val="22"/>
        </w:rPr>
        <w:t xml:space="preserve">【Commentary】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Sub-commentary states: This Article is 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reference clause.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Since the preceding Article has established the hierarchy of relationships and the limitations for dissolution, the daily operation of such relationships cannot be fully covered by one or two articles. Therefore, this Article references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Marital Organization Charter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its supporting regulations. The key lies in the phrase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regardless of whether the other party ultimately signs or accepts its original text or amendments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this phrase is most crucial because the binding force of self-imposed regulations does not change based on whether the counterpart party signs or not. The purpose of self-imposed regulations is to bind oneself, not others; if one must wait for the counterpart party to sign before acting, then the self-imposed regulation would instead become the choice of another, which is not the original intention of self-imposed regulations.</w:t>
      </w:r>
    </w:p>
    <w:p>
      <w:pPr>
        <w:pStyle w:val="BodyText"/>
        <w:spacing w:after="120" w:line="312" w:lineRule="auto"/>
      </w:pPr>
      <w:r>
        <w:rPr>
          <w:rFonts w:ascii="DejaVu Serif" w:hAnsi="DejaVu Serif" w:eastAsia="Noto Serif CJK SC"/>
          <w:b/>
          <w:bCs/>
          <w:color w:val="000000"/>
          <w:sz w:val="22"/>
        </w:rPr>
        <w:t xml:space="preserve">【Discussion】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Discussion states: The phrase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in addition to complying with the text provisions of Article 120 of this constitutional charter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clearly establishes that this Article 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additive, not alternative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one must comply with both the main text and its annexes, and they are not mutually exclusive. The four words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listed in the annexes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clarify that the status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Marital Organization Charter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is that of an annex, possessing the same mandatory force as the main Charter, which aligns with the meaning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each annex is a detailed implementation rule for specific areas with the same mandatory force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system’s general table of contents.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Regardless of whether the other party ultimately signs or accepts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does not mean imposing it on the other party, but rather means that one oneself abides by the agreement: that is, even if the counterpart party does not sign, one oneself still abides by it. This is precisely the spirit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sovereign individual self-imposed regulations.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However, for its actual implementation, it must still be based on mutual affection and negotiated co-governance in order to fully realize the benefits of the annex.</w:t>
      </w:r>
    </w:p>
    <w:p>
      <w:pPr>
        <w:pStyle w:val="BodyText"/>
        <w:spacing w:after="120" w:line="312" w:lineRule="auto"/>
      </w:pPr>
      <w:r>
        <w:rPr>
          <w:rFonts w:ascii="DejaVu Serif" w:hAnsi="DejaVu Serif" w:eastAsia="Noto Serif CJK SC"/>
          <w:b/>
          <w:bCs/>
          <w:color w:val="000000"/>
          <w:sz w:val="22"/>
        </w:rPr>
        <w:t xml:space="preserve">【Question】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Since this Article states that one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must comply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with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Marital Organization Charter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the annexes, if that charter conflicts with the mandatory statutory provisions of the counterpart party’s country, which shall prevail?</w:t>
      </w:r>
      <w:r>
        <w:rPr>
          <w:rFonts w:ascii="DejaVu Serif" w:hAnsi="DejaVu Serif" w:eastAsia="Noto Serif CJK SC"/>
          <w:color w:val="000000"/>
          <w:sz w:val="22"/>
        </w:rPr>
        <w:t xml:space="preserve"> </w:t>
      </w:r>
      <w:r>
        <w:rPr>
          <w:rFonts w:ascii="DejaVu Serif" w:hAnsi="DejaVu Serif" w:eastAsia="Noto Serif CJK SC"/>
          <w:b/>
          <w:bCs/>
          <w:color w:val="000000"/>
          <w:sz w:val="22"/>
        </w:rPr>
        <w:t xml:space="preserve">【Answer】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According to Article 125 of the Charter,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Response to Legal and Regulatory Amendments,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wherever there is an irreconcilable substantive conflict between mandatory provisions of local laws and regulations and this city, modifications shall be made and implemented in accordance with the explicit mandatory provisions of laws and regulations within the scope of the conflict. Therefore, the obligation to comply with this Article is bounded by not contravening explicit mandatory legal provisions.</w:t>
      </w:r>
    </w:p>
    <w:p>
      <w:pPr>
        <w:pStyle w:val="BodyText"/>
        <w:spacing w:after="120" w:line="312" w:lineRule="auto"/>
      </w:pPr>
      <w:r>
        <w:rPr>
          <w:rFonts w:ascii="DejaVu Serif" w:hAnsi="DejaVu Serif" w:eastAsia="Noto Serif CJK SC"/>
          <w:b/>
          <w:bCs/>
          <w:color w:val="000000"/>
          <w:sz w:val="22"/>
        </w:rPr>
        <w:t xml:space="preserve">【Cross-ref】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125, Article 126 of the Charter; Annex C.01.001, Annex C.02.001, Annex C.03.001; Annex A.07.001</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Ethics and Etiquette Code (Grand Code).</w:t>
      </w:r>
      <w:r>
        <w:rPr>
          <w:rFonts w:ascii="DejaVu Serif" w:hAnsi="DejaVu Serif" w:eastAsia="Noto Serif CJK SC"/>
          <w:color w:val="000000"/>
          <w:sz w:val="22"/>
        </w:rPr>
        <w:t xml:space="preserve">”</w:t>
      </w:r>
    </w:p>
    <w:bookmarkEnd w:id="228"/>
    <w:bookmarkStart w:id="229" w:name="Xaae5e64528981e9ac3d934ffb62eef1bb3ebf4a"/>
    <w:p>
      <w:pPr>
        <w:pStyle w:val="Heading3"/>
        <w:spacing w:after="120" w:line="312" w:lineRule="auto"/>
        <w:jc w:val="left"/>
      </w:pPr>
      <w:r>
        <w:rPr>
          <w:rFonts w:ascii="DejaVu Serif" w:hAnsi="DejaVu Serif" w:eastAsia="Noto Serif CJK SC"/>
          <w:color w:val="000000"/>
          <w:sz w:val="26"/>
        </w:rPr>
        <w:t xml:space="preserve">Sub-commentary on Article 123 (Commemorative Promise)</w:t>
      </w:r>
    </w:p>
    <w:p>
      <w:pPr>
        <w:pStyle w:val="FirstParagraph"/>
        <w:spacing w:after="120" w:line="312" w:lineRule="auto"/>
      </w:pPr>
      <w:r>
        <w:rPr>
          <w:rFonts w:ascii="DejaVu Serif" w:hAnsi="DejaVu Serif" w:eastAsia="Noto Serif CJK SC"/>
          <w:b/>
          <w:bCs/>
          <w:color w:val="000000"/>
          <w:sz w:val="22"/>
        </w:rPr>
        <w:t xml:space="preserve">【Statute】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This Constitution adds Article 123:</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Unless the female counterpart dies in an unexpected man-made accident not caused by a conspiracy or by a party to this constitutional charter, and after a period of 20 years (more than 7,300 days), the male counterpart shall not remarry in order to commemorate. In any other case, the male counterpart shall abide by this commemorative promise.</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b/>
          <w:bCs/>
          <w:color w:val="000000"/>
          <w:sz w:val="22"/>
        </w:rPr>
        <w:t xml:space="preserve">【Commentary】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Sub-commentary states: This Article is 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commemorative promise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and among the amendment system, it is one of the most emotionally charged articles. Its structure is an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inversion of principle plus exception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shall not remarry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is the principle, with specific circumstances as the sole exception. The requirements for the exception are three: first,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unexpected</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second,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not a conspiracy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third,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 man-made accident not caused by a party to this constitutional charter,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it must be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after 20 years (more than 7,300 days).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Only when all three conditions are met and the period has elapsed can one remarry;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in any other case, the male counterpart shall abide by this commemorative promise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is a reaffirmation with a catch-all provision, therefore the exception is interpreted strictly and the promise is given heavy weight.</w:t>
      </w:r>
    </w:p>
    <w:p>
      <w:pPr>
        <w:pStyle w:val="BodyText"/>
        <w:spacing w:after="120" w:line="312" w:lineRule="auto"/>
      </w:pPr>
      <w:r>
        <w:rPr>
          <w:rFonts w:ascii="DejaVu Serif" w:hAnsi="DejaVu Serif" w:eastAsia="Noto Serif CJK SC"/>
          <w:b/>
          <w:bCs/>
          <w:color w:val="000000"/>
          <w:sz w:val="22"/>
        </w:rPr>
        <w:t xml:space="preserve">【Discussion】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Discussion states: The establishment of the three conditions in this Article is all to prevent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man-made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conspiracy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anything that can be foreseen, involves a conspiracy, or is caused by a party does not constitute an exception. Its specific quantification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more than 7,300 days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is consistent with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quantitative goals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style of the Charter. The four words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in order to commemorate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are the essence of the article: what is established here 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commemoration,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not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punishment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it is through self-discipline of character that one expresses lasting grief. However, the language of this Article uses the terms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male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female,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which belongs to the recording style of the original text, and all rights and obligations are limited to the circumstances explicitly defined in this Article and shall not be extended.</w:t>
      </w:r>
    </w:p>
    <w:p>
      <w:pPr>
        <w:pStyle w:val="BodyText"/>
        <w:spacing w:after="120" w:line="312" w:lineRule="auto"/>
      </w:pPr>
      <w:r>
        <w:rPr>
          <w:rFonts w:ascii="DejaVu Serif" w:hAnsi="DejaVu Serif" w:eastAsia="Noto Serif CJK SC"/>
          <w:b/>
          <w:bCs/>
          <w:color w:val="000000"/>
          <w:sz w:val="22"/>
        </w:rPr>
        <w:t xml:space="preserve">【Question】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Does the scope of effect of the provision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males shall not again marry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extend to the principle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not concluding statutory marriages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main Charter?</w:t>
      </w:r>
      <w:r>
        <w:rPr>
          <w:rFonts w:ascii="DejaVu Serif" w:hAnsi="DejaVu Serif" w:eastAsia="Noto Serif CJK SC"/>
          <w:color w:val="000000"/>
          <w:sz w:val="22"/>
        </w:rPr>
        <w:t xml:space="preserve"> </w:t>
      </w:r>
      <w:r>
        <w:rPr>
          <w:rFonts w:ascii="DejaVu Serif" w:hAnsi="DejaVu Serif" w:eastAsia="Noto Serif CJK SC"/>
          <w:b/>
          <w:bCs/>
          <w:color w:val="000000"/>
          <w:sz w:val="22"/>
        </w:rPr>
        <w:t xml:space="preserve">【Answer】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These are on different levels. The lifestyle principle in the main Charter deals with the choice of whether to conclude a statutory marriage; this provision deals with the restriction on re-concluding after specific changes, in cases where a marriage or commitment relationship has already been established. Therefore, the application of this provision presupposes the existence of such a relationship and does not conflict with the lifestyle principle.</w:t>
      </w:r>
    </w:p>
    <w:p>
      <w:pPr>
        <w:pStyle w:val="BodyText"/>
        <w:spacing w:after="120" w:line="312" w:lineRule="auto"/>
      </w:pPr>
      <w:r>
        <w:rPr>
          <w:rFonts w:ascii="DejaVu Serif" w:hAnsi="DejaVu Serif" w:eastAsia="Noto Serif CJK SC"/>
          <w:b/>
          <w:bCs/>
          <w:color w:val="000000"/>
          <w:sz w:val="22"/>
        </w:rPr>
        <w:t xml:space="preserve">【Cross-ref】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Main Charter Article 1-2, Article 4, Article 33; This Volume Article 121, Article 122; Annex F.01.001.</w:t>
      </w:r>
    </w:p>
    <w:bookmarkEnd w:id="229"/>
    <w:bookmarkStart w:id="230" w:name="X87f8ab85b81406a385d713163582f48ed441a07"/>
    <w:p>
      <w:pPr>
        <w:pStyle w:val="Heading3"/>
        <w:spacing w:after="120" w:line="312" w:lineRule="auto"/>
        <w:jc w:val="left"/>
      </w:pPr>
      <w:r>
        <w:rPr>
          <w:rFonts w:ascii="DejaVu Serif" w:hAnsi="DejaVu Serif" w:eastAsia="Noto Serif CJK SC"/>
          <w:color w:val="000000"/>
          <w:sz w:val="26"/>
        </w:rPr>
        <w:t xml:space="preserve">Sub-commentary to Article 4 (Provisional Sequential Modification)</w:t>
      </w:r>
    </w:p>
    <w:p>
      <w:pPr>
        <w:pStyle w:val="FirstParagraph"/>
        <w:spacing w:after="120" w:line="312" w:lineRule="auto"/>
      </w:pPr>
      <w:r>
        <w:rPr>
          <w:rFonts w:ascii="DejaVu Serif" w:hAnsi="DejaVu Serif" w:eastAsia="Noto Serif CJK SC"/>
          <w:b/>
          <w:bCs/>
          <w:color w:val="000000"/>
          <w:sz w:val="22"/>
        </w:rPr>
        <w:t xml:space="preserve">【Statute】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Due to the addition of new articles, the original article numbers will be correspondingly adjusted. Original Article 121 is modified to Article 124, original Article 122 to Article 125, original Article 123 to Article 126, original Article 124 to Article 127, original Article 125 to Article 128, original Article 126 to Article 129, and original Article 127 to Article 130.</w:t>
      </w:r>
    </w:p>
    <w:p>
      <w:pPr>
        <w:pStyle w:val="BodyText"/>
        <w:spacing w:after="120" w:line="312" w:lineRule="auto"/>
      </w:pPr>
      <w:r>
        <w:rPr>
          <w:rFonts w:ascii="DejaVu Serif" w:hAnsi="DejaVu Serif" w:eastAsia="Noto Serif CJK SC"/>
          <w:b/>
          <w:bCs/>
          <w:color w:val="000000"/>
          <w:sz w:val="22"/>
        </w:rPr>
        <w:t xml:space="preserve">【Commentary】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Sub-commentary states: This article is for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sequential numbering</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to maintain the order of the system. Whenever an article is added in the middle, the numbers of all subsequent articles must be adjusted; if not adjusted, there would be two articles with the same number, causing confusion in citation. Therefore, this article explicitly stipulates the sequence of adjustment: from original Article 121 to original Article 127, each is moved back three positions, becoming Article 124 to Article 130. This system aligns with the current numbering of Main Charter Articles 124 to 127 (Unfinished Matters, Response to Legal and Regulatory Changes, Latest Principles of Charter Application, Charter Effective Date), showing that the current article numbering order follows this sequential adjustment method.</w:t>
      </w:r>
    </w:p>
    <w:p>
      <w:pPr>
        <w:pStyle w:val="BodyText"/>
        <w:spacing w:after="120" w:line="312" w:lineRule="auto"/>
      </w:pPr>
      <w:r>
        <w:rPr>
          <w:rFonts w:ascii="DejaVu Serif" w:hAnsi="DejaVu Serif" w:eastAsia="Noto Serif CJK SC"/>
          <w:b/>
          <w:bCs/>
          <w:color w:val="000000"/>
          <w:sz w:val="22"/>
        </w:rPr>
        <w:t xml:space="preserve">【Discussion】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Discussion states: The reason sequential numbering must be explicitly stipulated is for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certainty of citation.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Citation in the Charter system often refers to</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according to Article X,</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if article numbers move without clarification, all citations lose their target. Therefore, this Correction Bill, in addition to adding new provisions, specially establishes a section for sequential adjustment. Furthermore, the method of sequential adjustment also matches the principle that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new provisions override old ones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any citation using the old number refers to unchanged content but with a new number; any citation using the new number directly points to the new text. Therefore, although this article is a matter of format, it actually concerns the general framework of citation.</w:t>
      </w:r>
    </w:p>
    <w:p>
      <w:pPr>
        <w:pStyle w:val="BodyText"/>
        <w:spacing w:after="120" w:line="312" w:lineRule="auto"/>
      </w:pPr>
      <w:r>
        <w:rPr>
          <w:rFonts w:ascii="DejaVu Serif" w:hAnsi="DejaVu Serif" w:eastAsia="Noto Serif CJK SC"/>
          <w:b/>
          <w:bCs/>
          <w:color w:val="000000"/>
          <w:sz w:val="22"/>
        </w:rPr>
        <w:t xml:space="preserve">【Cross-ref】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Main Charter Articles 121 to 127; Main Charter Article 126.</w:t>
      </w:r>
    </w:p>
    <w:p>
      <w:pPr>
        <w:spacing w:after="120" w:line="312" w:lineRule="auto"/>
      </w:pPr>
      <w:r>
        <w:rPr>
          <w:rFonts w:ascii="DejaVu Serif" w:hAnsi="DejaVu Serif" w:eastAsia="Noto Serif CJK SC"/>
          <w:color w:val="000000"/>
          <w:sz w:val="22"/>
        </w:rPr>
        <w:pict>
          <v:rect style="width:0;height:1.5pt" o:hralign="center" o:hrstd="t" o:hr="t"/>
        </w:pict>
      </w:r>
    </w:p>
    <w:bookmarkEnd w:id="230"/>
    <w:bookmarkEnd w:id="231"/>
    <w:bookmarkStart w:id="234" w:name="X01eb03fab928ec0a6bc6a16361b75c5e8410040"/>
    <w:p>
      <w:pPr>
        <w:pStyle w:val="Heading2"/>
        <w:spacing w:after="160" w:line="312" w:lineRule="auto"/>
        <w:jc w:val="left"/>
      </w:pPr>
      <w:r>
        <w:rPr>
          <w:rFonts w:ascii="DejaVu Serif" w:hAnsi="DejaVu Serif" w:eastAsia="Noto Serif CJK SC"/>
          <w:color w:val="000000"/>
          <w:sz w:val="30"/>
        </w:rPr>
        <w:t xml:space="preserve">Volume V</w:t>
      </w:r>
      <w:r>
        <w:rPr>
          <w:rFonts w:ascii="DejaVu Serif" w:hAnsi="DejaVu Serif" w:eastAsia="Noto Serif CJK SC"/>
          <w:color w:val="000000"/>
          <w:sz w:val="30"/>
        </w:rPr>
        <w:t xml:space="preserve"> </w:t>
      </w:r>
      <w:r>
        <w:rPr>
          <w:rFonts w:ascii="DejaVu Serif" w:hAnsi="DejaVu Serif" w:eastAsia="Noto Serif CJK SC"/>
          <w:color w:val="000000"/>
          <w:sz w:val="30"/>
        </w:rPr>
        <w:t xml:space="preserve">“</w:t>
      </w:r>
      <w:r>
        <w:rPr>
          <w:rFonts w:ascii="DejaVu Serif" w:hAnsi="DejaVu Serif" w:eastAsia="Noto Serif CJK SC"/>
          <w:color w:val="000000"/>
          <w:sz w:val="30"/>
        </w:rPr>
        <w:t xml:space="preserve">Supplementary Correction on Matters Related to Decision-Making Boundaries for Assistance</w:t>
      </w:r>
      <w:r>
        <w:rPr>
          <w:rFonts w:ascii="DejaVu Serif" w:hAnsi="DejaVu Serif" w:eastAsia="Noto Serif CJK SC"/>
          <w:color w:val="000000"/>
          <w:sz w:val="30"/>
        </w:rPr>
        <w:t xml:space="preserve">”</w:t>
      </w:r>
      <w:r>
        <w:rPr>
          <w:rFonts w:ascii="DejaVu Serif" w:hAnsi="DejaVu Serif" w:eastAsia="Noto Serif CJK SC"/>
          <w:color w:val="000000"/>
          <w:sz w:val="30"/>
        </w:rPr>
        <w:t xml:space="preserve"> </w:t>
      </w:r>
      <w:r>
        <w:rPr>
          <w:rFonts w:ascii="DejaVu Serif" w:hAnsi="DejaVu Serif" w:eastAsia="Noto Serif CJK SC"/>
          <w:color w:val="000000"/>
          <w:sz w:val="30"/>
        </w:rPr>
        <w:t xml:space="preserve">(Fifth Correction Bill · Effective October 20, 2025) Sub-commentary</w:t>
      </w:r>
    </w:p>
    <w:p>
      <w:pPr>
        <w:pStyle w:val="FirstParagraph"/>
        <w:spacing w:after="120" w:line="312" w:lineRule="auto"/>
      </w:pPr>
      <w:r>
        <w:rPr>
          <w:rFonts w:ascii="DejaVu Serif" w:hAnsi="DejaVu Serif" w:eastAsia="Noto Serif CJK SC"/>
          <w:b/>
          <w:bCs/>
          <w:color w:val="000000"/>
          <w:sz w:val="22"/>
        </w:rPr>
        <w:t xml:space="preserve">Sub-commentary to this Chapter</w:t>
      </w:r>
      <w:r>
        <w:rPr>
          <w:rFonts w:ascii="DejaVu Serif" w:hAnsi="DejaVu Serif" w:eastAsia="Noto Serif CJK SC"/>
          <w:color w:val="000000"/>
          <w:sz w:val="22"/>
        </w:rPr>
        <w:t xml:space="preserve">: This volume elaborates on the supplementary correction of assistance boundaries, adding Article 143 after Main Charter Article 140 [Personal Decision-Making Boundaries and Proactive Assistance Matters]. Its system has two parts: one is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boundary of non-interference,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listing three categories: matters of broad irrelevance, matters without statutory mandatory assistance obligations, and matters without both legal and moral obligations; the other 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situations for proactive assistance,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establishing three conditions: assistance recipient, request method and exceptions, and boundaries of assistance content. One 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closed,</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other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open.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closed part maintains the position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reducing external interference and autonomous decision-making</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the open part implements the logic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continuous altruism and controllable altruism.</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essence of this volume lies in the proper balance between openness and closure. What is cited here is an excerpt; the full text shall be taken as the authoritative text.</w:t>
      </w:r>
    </w:p>
    <w:bookmarkStart w:id="232" w:name="X250c17f314f27ad93259dc2c7469b9c8a84fdbd"/>
    <w:p>
      <w:pPr>
        <w:pStyle w:val="Heading3"/>
        <w:spacing w:after="120" w:line="312" w:lineRule="auto"/>
        <w:jc w:val="left"/>
      </w:pPr>
      <w:r>
        <w:rPr>
          <w:rFonts w:ascii="DejaVu Serif" w:hAnsi="DejaVu Serif" w:eastAsia="Noto Serif CJK SC"/>
          <w:color w:val="000000"/>
          <w:sz w:val="26"/>
        </w:rPr>
        <w:t xml:space="preserve">Sub-commentary to Article 1 (Article 143 [Personal Decision-Making Boundaries and Proactive Assistance Matters])</w:t>
      </w:r>
    </w:p>
    <w:p>
      <w:pPr>
        <w:pStyle w:val="FirstParagraph"/>
        <w:spacing w:after="120" w:line="312" w:lineRule="auto"/>
      </w:pPr>
      <w:r>
        <w:rPr>
          <w:rFonts w:ascii="DejaVu Serif" w:hAnsi="DejaVu Serif" w:eastAsia="Noto Serif CJK SC"/>
          <w:b/>
          <w:bCs/>
          <w:color w:val="000000"/>
          <w:sz w:val="22"/>
        </w:rPr>
        <w:t xml:space="preserve">【Statute】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This provision is formulated in accordance with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Principle that No One Can Make Decisions for Another Person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Article 30 of the Charter of Life Action,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Principle of Personal Values First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Article 33, and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continuous altruistic mindset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principle in Article 1-2 [Highest Programmatic Ideals], clarifying the boundaries of personal decision-making intervention and the applicable situations for proactive assistance… ㈠ Scope of matters where personal non-intervention in decision-making is applicable: The person shall not proactively intervene or assume decision-making responsibility for the following three categories of matters, unless they meet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applicable situations for proactive assistance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stipulated in this provision, and this boundary shall not be changed by any external intervention not in accordance with the person’s will: ⑴ Matters of broad irrelevance… ⑵ Matters without statutory mandatory assistance obligations… ⑶ Matters without both legal and moral obligations… ㈡ Applicable situations for proactive assistance: For matters listed in subsection 1, items 2 and 3 of this article, if all of the following conditions are simultaneously met, the person may proactively provide assistance; if only some are met, assistance behavior shall not be initiated: ⑴ Assistance recipient limited (must be groups such as girls, women, children, patients, or the weak who genuinely need assistance, and belong to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benevolent non-dominant groups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⑵ Request method and exceptions… ⑶ Boundaries of assistance content (legality, protection of interests, appropriateness)…</w:t>
      </w:r>
    </w:p>
    <w:p>
      <w:pPr>
        <w:pStyle w:val="BodyText"/>
        <w:spacing w:after="120" w:line="312" w:lineRule="auto"/>
      </w:pPr>
      <w:r>
        <w:rPr>
          <w:rFonts w:ascii="DejaVu Serif" w:hAnsi="DejaVu Serif" w:eastAsia="Noto Serif CJK SC"/>
          <w:b/>
          <w:bCs/>
          <w:color w:val="000000"/>
          <w:sz w:val="22"/>
        </w:rPr>
        <w:t xml:space="preserve">【Commentary】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【Commentary】 states: This Article serves as the general principle for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Boundaries of Assistance.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difficulty in its legislation lies in reconciling two opposing yet concurrent principles: one 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autonomy,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established in Article 1 of the Charter, which mandates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reducing external influence on the course of life to the minimum necessary extent,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Article 30, which states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no one other than oneself has the authority to make decisions on behalf of oneself,</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in Article 33, which establishes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first principle of personal values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the other 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altruism,</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established in Article 1-2, which mandates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maintaining a continuous altruistic mindset.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If only autonomy is pursued, it leads to self-isolation; if only altruism is pursued, it results in excess. The establishment of this Article precisely sets boundaries for these two principles: using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boundary of non-interference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to protect autonomy and using</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circumstances for assistance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to extend altruism. Therefore, this Article explicitly cites its basis in three provisions (Article 30, Article 33, and Article 1-2) and employs the legislative method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both upholding… and practicing…,</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which is not mere formality.</w:t>
      </w:r>
    </w:p>
    <w:p>
      <w:pPr>
        <w:pStyle w:val="BodyText"/>
        <w:spacing w:after="120" w:line="312" w:lineRule="auto"/>
      </w:pPr>
      <w:r>
        <w:rPr>
          <w:rFonts w:ascii="DejaVu Serif" w:hAnsi="DejaVu Serif" w:eastAsia="Noto Serif CJK SC"/>
          <w:b/>
          <w:bCs/>
          <w:color w:val="000000"/>
          <w:sz w:val="22"/>
        </w:rPr>
        <w:t xml:space="preserve">【Discussion】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【Discussion】 states: The three categories in Paragraph 1 follow a logical order from external to internal: for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broadly irrelevant matters,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boundary 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relevance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(no legal relevance, no factual relevance); for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matters without mandatory legal assistance obligations,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boundary 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legal obligation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(no</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shall</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must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assistance obligations, and the person has explicitly expressed unwillingness to provide help); for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matters without both legal and moral obligations,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boundary is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dual tier of law and morality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(regardless of mandatory legal requirements, or clear social moral constraints or moral obligations stipulated in the Charter). All three share the prerequisite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explicit expression of unwillingness to help,</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thus it is not implied consent but explicit refusal that is respected. These three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non-interference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provisions are not negative evasions but the implementation of three meanings: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avoiding unrelated matters from occupying core energy,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rejecting the imposition of obligations without legal basis,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protecting decision-making autonomy from unnecessary moral coercion.</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The three conditions in Paragraph 2 operate on the principle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all conditions must be met for activation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Condition 1 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person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(must belong to a non-dominant group with good intentions, no provocation, no intention of seeking improper benefits through assistance, and has a genuine need for help); Condition 2 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request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(must be made in a non-provocative and polite manner, with exceptions for emergency situations where objective judgment may initiate necessary help); Condition 3 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boundary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(legality, interest protection, and appropriateness must all be satisfied simultaneously). The statement,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If all the following conditions are met simultaneously, one may proactively provide assistance; if only some are met, assistance shall not be initiated,</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explicitly establishes 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cumulative requirement,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thus the absence of even one condition makes it impermissible. Among these,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appropriateness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criterion is based 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minimum feasible contribution,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clarifying that assistance must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only invest necessary time, energy, or resources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must not hinder the pursuit of one’s life goals (such as global travel, establishing a private equity fund) due to excessive assistance. This is the correct interpretation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altruistic yet controllable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altruism that does not harm one’s foundation is sustainable altruism.</w:t>
      </w:r>
    </w:p>
    <w:p>
      <w:pPr>
        <w:pStyle w:val="BodyText"/>
        <w:spacing w:after="120" w:line="312" w:lineRule="auto"/>
      </w:pPr>
      <w:r>
        <w:rPr>
          <w:rFonts w:ascii="DejaVu Serif" w:hAnsi="DejaVu Serif" w:eastAsia="Noto Serif CJK SC"/>
          <w:b/>
          <w:bCs/>
          <w:color w:val="000000"/>
          <w:sz w:val="22"/>
        </w:rPr>
        <w:t xml:space="preserve">【Question】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assistance in Paragraph 2 explicitly targets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matters listed in Subparagraphs 2 and 3 of Paragraph 1 of this Article,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but not Subparagraph 1</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broadly irrelevant matters.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What is the meaning of this?</w:t>
      </w:r>
      <w:r>
        <w:rPr>
          <w:rFonts w:ascii="DejaVu Serif" w:hAnsi="DejaVu Serif" w:eastAsia="Noto Serif CJK SC"/>
          <w:color w:val="000000"/>
          <w:sz w:val="22"/>
        </w:rPr>
        <w:t xml:space="preserve"> </w:t>
      </w:r>
      <w:r>
        <w:rPr>
          <w:rFonts w:ascii="DejaVu Serif" w:hAnsi="DejaVu Serif" w:eastAsia="Noto Serif CJK SC"/>
          <w:b/>
          <w:bCs/>
          <w:color w:val="000000"/>
          <w:sz w:val="22"/>
        </w:rPr>
        <w:t xml:space="preserve">【Answer】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This is the critical boundary of this Article. For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broadly irrelevant matters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Subparagraph 1, since the person is neither informed nor involved, and has no legal or factual connection, even if requested by a non-dominant group with good intentions, it does not fall within the scope of assistance under this Article—otherwise, the boundary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irrelevance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would be completely nullified, contradicting the principle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reducing external influence to the minimum necessary extent.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Therefore, the assistance under this Article requires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being informed or having previously participated</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its prerequisite, which is the first point that those interpreting this Article must note.</w:t>
      </w:r>
    </w:p>
    <w:p>
      <w:pPr>
        <w:pStyle w:val="BodyText"/>
        <w:spacing w:after="120" w:line="312" w:lineRule="auto"/>
      </w:pPr>
      <w:r>
        <w:rPr>
          <w:rFonts w:ascii="DejaVu Serif" w:hAnsi="DejaVu Serif" w:eastAsia="Noto Serif CJK SC"/>
          <w:b/>
          <w:bCs/>
          <w:color w:val="000000"/>
          <w:sz w:val="22"/>
        </w:rPr>
        <w:t xml:space="preserve">【Cross-ref】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1, Article 1-2, Article 8, Article 25, Article 30, Article 33, Article 64, Article 118 of the Charter; Annex B.01.001</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Exemption List for the Principle of Non-Assistance Unless Necessary of the Charter of Life Action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Annex C.01.001.</w:t>
      </w:r>
    </w:p>
    <w:bookmarkEnd w:id="232"/>
    <w:bookmarkStart w:id="233" w:name="X9c2d1c8b2e6dbb4f009a94539d19f286420417c"/>
    <w:p>
      <w:pPr>
        <w:pStyle w:val="Heading3"/>
        <w:spacing w:after="120" w:line="312" w:lineRule="auto"/>
        <w:jc w:val="left"/>
      </w:pPr>
      <w:r>
        <w:rPr>
          <w:rFonts w:ascii="DejaVu Serif" w:hAnsi="DejaVu Serif" w:eastAsia="Noto Serif CJK SC"/>
          <w:color w:val="000000"/>
          <w:sz w:val="26"/>
        </w:rPr>
        <w:t xml:space="preserve">Sub-commentary on Article 2 (Entry into Force of this Correction Bill)</w:t>
      </w:r>
    </w:p>
    <w:p>
      <w:pPr>
        <w:pStyle w:val="FirstParagraph"/>
        <w:spacing w:after="120" w:line="312" w:lineRule="auto"/>
      </w:pPr>
      <w:r>
        <w:rPr>
          <w:rFonts w:ascii="DejaVu Serif" w:hAnsi="DejaVu Serif" w:eastAsia="Noto Serif CJK SC"/>
          <w:b/>
          <w:bCs/>
          <w:color w:val="000000"/>
          <w:sz w:val="22"/>
        </w:rPr>
        <w:t xml:space="preserve">【Statute】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This Correction Bill shall take effect from October 20, 2025, and shall be implemented from the date of its entry into force.</w:t>
      </w:r>
    </w:p>
    <w:p>
      <w:pPr>
        <w:pStyle w:val="BodyText"/>
        <w:spacing w:after="120" w:line="312" w:lineRule="auto"/>
      </w:pPr>
      <w:r>
        <w:rPr>
          <w:rFonts w:ascii="DejaVu Serif" w:hAnsi="DejaVu Serif" w:eastAsia="Noto Serif CJK SC"/>
          <w:b/>
          <w:bCs/>
          <w:color w:val="000000"/>
          <w:sz w:val="22"/>
        </w:rPr>
        <w:t xml:space="preserve">【Commentary】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【Commentary】 states: This Article is the implementation provision. The entry into force of this Correction Bill 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effective and implemented on the same day,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differing from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effective upon signature and retroactively applied</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of the First and Second Amendments, and also differing from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effective upon signature and applied retroactively where beneficial</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of the Third Amendment. When viewed together, the models for entry into force of amendments reveal their complete scope: retroactive application, retroactive application where beneficial, and same-day implementation, each tailored to the specific circumstances.</w:t>
      </w:r>
    </w:p>
    <w:p>
      <w:pPr>
        <w:pStyle w:val="BodyText"/>
        <w:spacing w:after="120" w:line="312" w:lineRule="auto"/>
      </w:pPr>
      <w:r>
        <w:rPr>
          <w:rFonts w:ascii="DejaVu Serif" w:hAnsi="DejaVu Serif" w:eastAsia="Noto Serif CJK SC"/>
          <w:b/>
          <w:bCs/>
          <w:color w:val="000000"/>
          <w:sz w:val="22"/>
        </w:rPr>
        <w:t xml:space="preserve">【Discussion】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【Discussion】 states: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same-day implementation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of this Correction Bill corresponds to the nature of its content. Matters concerning boundaries of assistance relate to daily interpersonal interactions, unlike debt clearance which requires retroactive application to unresolved relationships, thus retroactive application is not necessary; since retroactive application is unnecessary,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same-day implementation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is the simplest and clearest approach. Furthermore, Article 143 itself states,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This provision is formulated based on… to clarify the boundaries for personal decision-making intervention and the applicable circumstances for proactive assistance, both upholding… and practicing… to ensure complete alignment with the spirit of the original Charter provisions.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Since it explicitly states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complete alignment with the spirit of the original Charter provisions,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its implementation naturally does not create conflicts with previous provisions.</w:t>
      </w:r>
    </w:p>
    <w:p>
      <w:pPr>
        <w:pStyle w:val="BodyText"/>
        <w:spacing w:after="120" w:line="312" w:lineRule="auto"/>
      </w:pPr>
      <w:r>
        <w:rPr>
          <w:rFonts w:ascii="DejaVu Serif" w:hAnsi="DejaVu Serif" w:eastAsia="Noto Serif CJK SC"/>
          <w:b/>
          <w:bCs/>
          <w:color w:val="000000"/>
          <w:sz w:val="22"/>
        </w:rPr>
        <w:t xml:space="preserve">【Cross-ref】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125, Article 126, Article 127 of the Charter; Article 1 of this Correction Bill.</w:t>
      </w:r>
    </w:p>
    <w:p>
      <w:pPr>
        <w:spacing w:after="120" w:line="312" w:lineRule="auto"/>
      </w:pPr>
      <w:r>
        <w:rPr>
          <w:rFonts w:ascii="DejaVu Serif" w:hAnsi="DejaVu Serif" w:eastAsia="Noto Serif CJK SC"/>
          <w:color w:val="000000"/>
          <w:sz w:val="22"/>
        </w:rPr>
        <w:pict>
          <v:rect style="width:0;height:1.5pt" o:hralign="center" o:hrstd="t" o:hr="t"/>
        </w:pict>
      </w:r>
    </w:p>
    <w:bookmarkEnd w:id="233"/>
    <w:bookmarkEnd w:id="234"/>
    <w:bookmarkStart w:id="238" w:name="X9742e7436d16acf4dab307c0f84aea8a2ef4fd3"/>
    <w:p>
      <w:pPr>
        <w:pStyle w:val="Heading2"/>
        <w:spacing w:after="160" w:line="312" w:lineRule="auto"/>
        <w:jc w:val="left"/>
      </w:pPr>
      <w:r>
        <w:rPr>
          <w:rFonts w:ascii="DejaVu Serif" w:hAnsi="DejaVu Serif" w:eastAsia="Noto Serif CJK SC"/>
          <w:color w:val="000000"/>
          <w:sz w:val="30"/>
        </w:rPr>
        <w:t xml:space="preserve">Volume VI Sub-commentary on</w:t>
      </w:r>
      <w:r>
        <w:rPr>
          <w:rFonts w:ascii="DejaVu Serif" w:hAnsi="DejaVu Serif" w:eastAsia="Noto Serif CJK SC"/>
          <w:color w:val="000000"/>
          <w:sz w:val="30"/>
        </w:rPr>
        <w:t xml:space="preserve"> </w:t>
      </w:r>
      <w:r>
        <w:rPr>
          <w:rFonts w:ascii="DejaVu Serif" w:hAnsi="DejaVu Serif" w:eastAsia="Noto Serif CJK SC"/>
          <w:color w:val="000000"/>
          <w:sz w:val="30"/>
        </w:rPr>
        <w:t xml:space="preserve">“</w:t>
      </w:r>
      <w:r>
        <w:rPr>
          <w:rFonts w:ascii="DejaVu Serif" w:hAnsi="DejaVu Serif" w:eastAsia="Noto Serif CJK SC"/>
          <w:color w:val="000000"/>
          <w:sz w:val="30"/>
        </w:rPr>
        <w:t xml:space="preserve">The Cosmic, Globalized and Internationalized Charter of Life Action (the 60th Principled Final Correction) Correction Bill (Two)</w:t>
      </w:r>
      <w:r>
        <w:rPr>
          <w:rFonts w:ascii="DejaVu Serif" w:hAnsi="DejaVu Serif" w:eastAsia="Noto Serif CJK SC"/>
          <w:color w:val="000000"/>
          <w:sz w:val="30"/>
        </w:rPr>
        <w:t xml:space="preserve">”</w:t>
      </w:r>
    </w:p>
    <w:p>
      <w:pPr>
        <w:pStyle w:val="FirstParagraph"/>
        <w:spacing w:after="120" w:line="312" w:lineRule="auto"/>
      </w:pPr>
      <w:r>
        <w:rPr>
          <w:rFonts w:ascii="DejaVu Serif" w:hAnsi="DejaVu Serif" w:eastAsia="Noto Serif CJK SC"/>
          <w:b/>
          <w:bCs/>
          <w:color w:val="000000"/>
          <w:sz w:val="22"/>
        </w:rPr>
        <w:t xml:space="preserve">This Sub-commentary states</w:t>
      </w:r>
      <w:r>
        <w:rPr>
          <w:rFonts w:ascii="DejaVu Serif" w:hAnsi="DejaVu Serif" w:eastAsia="Noto Serif CJK SC"/>
          <w:color w:val="000000"/>
          <w:sz w:val="22"/>
        </w:rPr>
        <w:t xml:space="preserve">: Correction Bill (No. 2) is the Volume concerning the red lines of prohibitive conduct. It adds Articles 13-2 through 13-5, a total of four articles, to the main Charter text. The essence of its legislation lies in stratification by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circumstantial conditions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Article 13-2 is limited to</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under any circumstances,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constituting the absolute prohibition layer; Article 13-3 is limited to</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under any circumstances except when facing a serious, realistic danger to one’s life,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constituting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prohibited except when facing life-threatening danger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layer; Article 13-4 is limited to</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in regions subject to the jurisdiction of laws such as the Criminal Law of the People’s Republic of China</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and Article 13-5 is limited to</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in regions not subject to the jurisdiction of laws such as the Criminal Law of the People’s Republic of China, without the explicit consent and assurance of life safety, physical health, and complete voluntariness of the female counterpart.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With these four layers in parallel, the net of prohibition extends from inner to outer, from absolute to relative, each with its own boundaries. The articles cited in this section are summarized in their essentials, and in accordance with the format of the authentic text, any sensitive listings shall be governed in full by the authentic text.</w:t>
      </w:r>
    </w:p>
    <w:bookmarkStart w:id="235" w:name="X144e6f150e7ebd7b0321f6705d75db0894652c4"/>
    <w:p>
      <w:pPr>
        <w:pStyle w:val="Heading3"/>
        <w:spacing w:after="120" w:line="312" w:lineRule="auto"/>
        <w:jc w:val="left"/>
      </w:pPr>
      <w:r>
        <w:rPr>
          <w:rFonts w:ascii="DejaVu Serif" w:hAnsi="DejaVu Serif" w:eastAsia="Noto Serif CJK SC"/>
          <w:color w:val="000000"/>
          <w:sz w:val="26"/>
        </w:rPr>
        <w:t xml:space="preserve">Sub-commentary on Article 13-2 【Prohibitive Conduct (1)】</w:t>
      </w:r>
    </w:p>
    <w:p>
      <w:pPr>
        <w:pStyle w:val="FirstParagraph"/>
        <w:spacing w:after="120" w:line="312" w:lineRule="auto"/>
      </w:pPr>
      <w:r>
        <w:rPr>
          <w:rFonts w:ascii="DejaVu Serif" w:hAnsi="DejaVu Serif" w:eastAsia="Noto Serif CJK SC"/>
          <w:b/>
          <w:bCs/>
          <w:color w:val="000000"/>
          <w:sz w:val="22"/>
        </w:rPr>
        <w:t xml:space="preserve">【Statute】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13-2: Under any circumstances, the individual shall not engage in the following conduct: 1. Depriving or indirectly depriving any other (counterpart) person of life, 2. Depriving or indirectly depriving any other (counterpart) person of the right to survival, 3. Depriving or indirectly depriving or intending to harm the physical health of any other (counterpart) person, or subjecting them to physical (cruel) abuse, 4. Sexual assault, sexual abuse, and sexual maltreatment against persons who lack the capacity to resist due to reasons such as youth or physical weakness, especially females, and particularly sexual abuse and sexual maltreatment, 5. Depriving or indirectly depriving any other person of the right to sexual self-determination (activities involving sexual conduct with the counterpart shall fully respect their true will), 6. Depriving others of rights that are essentially the same as those mentioned above but have different names by other means, 7. Participating in activities involving narcotics, criminal syndicates, (international) terrorist organizations, or (international) extremist organizations, 8. Participating in gambling or leading citizens of the People’s Republic of China to gamble abroad within regions subject to the jurisdiction of laws such as the Criminal Law of the People’s Republic of China (excluding non-organized, spontaneous, and scattered gambling activities abroad not organized by the individual), 9. Participating in gambling or leading citizens of the People’s Republic of China to gamble abroad within regions subject to the jurisdiction of laws such as the Criminal Law of the People’s Republic of China (excluding non-organized, spontaneous, and scattered gambling activities abroad not organized by the individual), 10. Depriving others of the right to independent thought and the right to make autonomous choices based on such thought, for purposes not based on subjective good will.</w:t>
      </w:r>
    </w:p>
    <w:p>
      <w:pPr>
        <w:pStyle w:val="BodyText"/>
        <w:spacing w:after="120" w:line="312" w:lineRule="auto"/>
      </w:pPr>
      <w:r>
        <w:rPr>
          <w:rFonts w:ascii="DejaVu Serif" w:hAnsi="DejaVu Serif" w:eastAsia="Noto Serif CJK SC"/>
          <w:b/>
          <w:bCs/>
          <w:color w:val="000000"/>
          <w:sz w:val="22"/>
        </w:rPr>
        <w:t xml:space="preserve">【Commentary】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Sub-commentary states: This article constitutes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absolute layer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of the prohibitive system. The five words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under any circumstances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at its head constitute the strongest qualifier for the entire system: regardless of time, place, circumstances, or the attitude of the counterpart, all listed matters are strictly prohibited. The core principle upheld is the inviolability of the rights listed in Article 3 of the main Charter: the right to life, the right to survival, the fundamental right to health, the right to independent decision-making, the right to learning and growth, and the right to independent thought. Whereas Article 3 of the main Charter states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under any circumstances, the following rights outweigh money and assets,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this article states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under any circumstances, the individual shall not engage in the following conduct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the former is a matter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outweighing,</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while the latter is a matter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prohibition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two are complementary: precisely because the rights are of such great weight, they must not be infringed upon.</w:t>
      </w:r>
    </w:p>
    <w:p>
      <w:pPr>
        <w:pStyle w:val="BodyText"/>
        <w:spacing w:after="120" w:line="312" w:lineRule="auto"/>
      </w:pPr>
      <w:r>
        <w:rPr>
          <w:rFonts w:ascii="DejaVu Serif" w:hAnsi="DejaVu Serif" w:eastAsia="Noto Serif CJK SC"/>
          <w:b/>
          <w:bCs/>
          <w:color w:val="000000"/>
          <w:sz w:val="22"/>
        </w:rPr>
        <w:t xml:space="preserve">【Discussion】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Discussion states: The ten items listed in this article can be categorized into four types. The first type 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Life and Survival</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(Items 1 and 2); the second type 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Body and Health</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3); the third type 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Sexual Self-Determination and Personality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(Items 4 and 5, and also the catch-all in Item 6); the fourth type 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Participation in Organizations and Activities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(Items 7, 8, and 9); Item 10 concerns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Autonomy of Thought and Choice.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key to its structure lies in the catch-all phrase in Item 6:</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depriving others of rights that are essentially the same as those mentioned above but have different names by other means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therefore, any attempt to circumvent by changing the name falls within its scope. Items 8 and 9 echo Article 144 【Dual Iron Law of Organizational Participation】 and the principles of Articles 94 through 96 of the main Charter: all activities involving narcotics, criminal syndicates, terrorism, and extremism are absolutely prohibited.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purpose not based on subjective good will</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Item 10 is a necessary condition; therefore, what is prohibited by this item is the act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maliciously depriving others of independent thought and autonomous choice,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its boundaries are clearly defined.</w:t>
      </w:r>
    </w:p>
    <w:p>
      <w:pPr>
        <w:pStyle w:val="BodyText"/>
        <w:spacing w:after="120" w:line="312" w:lineRule="auto"/>
      </w:pPr>
      <w:r>
        <w:rPr>
          <w:rFonts w:ascii="DejaVu Serif" w:hAnsi="DejaVu Serif" w:eastAsia="Noto Serif CJK SC"/>
          <w:b/>
          <w:bCs/>
          <w:color w:val="000000"/>
          <w:sz w:val="22"/>
        </w:rPr>
        <w:t xml:space="preserve">【Question】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matters involved in Items 4 and 5 overlap with the subsequent Articles 13-3 and beyond. Which takes precedence?</w:t>
      </w:r>
      <w:r>
        <w:rPr>
          <w:rFonts w:ascii="DejaVu Serif" w:hAnsi="DejaVu Serif" w:eastAsia="Noto Serif CJK SC"/>
          <w:color w:val="000000"/>
          <w:sz w:val="22"/>
        </w:rPr>
        <w:t xml:space="preserve"> </w:t>
      </w:r>
      <w:r>
        <w:rPr>
          <w:rFonts w:ascii="DejaVu Serif" w:hAnsi="DejaVu Serif" w:eastAsia="Noto Serif CJK SC"/>
          <w:b/>
          <w:bCs/>
          <w:color w:val="000000"/>
          <w:sz w:val="22"/>
        </w:rPr>
        <w:t xml:space="preserve">【Answer】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Anything that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shall not be done under any circumstances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belongs to the absolute layer and takes precedence; anything that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shall not be done except when facing life-threatening danger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belongs to the relative layer and is applied subsequently. Therefore, if the same conduct falls under both layers, it shall be judged according to the absolute layer of Article 13-2. This is the principle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absolute prevails over relative, and serious prevails over light.</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b/>
          <w:bCs/>
          <w:color w:val="000000"/>
          <w:sz w:val="22"/>
        </w:rPr>
        <w:t xml:space="preserve">【Cross-ref】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3, Article 13, Article 13-3, Article 13-4, Article 13-5, and Article 13-6 of the main Charter; Articles 13-3 through 13-5 of Correction Bill (No. 2).</w:t>
      </w:r>
    </w:p>
    <w:bookmarkEnd w:id="235"/>
    <w:bookmarkStart w:id="236" w:name="X82e557a14ec07311c8fb3372763d7d757e305db"/>
    <w:p>
      <w:pPr>
        <w:pStyle w:val="Heading3"/>
        <w:spacing w:after="120" w:line="312" w:lineRule="auto"/>
        <w:jc w:val="left"/>
      </w:pPr>
      <w:r>
        <w:rPr>
          <w:rFonts w:ascii="DejaVu Serif" w:hAnsi="DejaVu Serif" w:eastAsia="Noto Serif CJK SC"/>
          <w:color w:val="000000"/>
          <w:sz w:val="26"/>
        </w:rPr>
        <w:t xml:space="preserve">Sub-commentary on Article 13-3 【Prohibitive Conduct (2)】</w:t>
      </w:r>
    </w:p>
    <w:p>
      <w:pPr>
        <w:pStyle w:val="FirstParagraph"/>
        <w:spacing w:after="120" w:line="312" w:lineRule="auto"/>
      </w:pPr>
      <w:r>
        <w:rPr>
          <w:rFonts w:ascii="DejaVu Serif" w:hAnsi="DejaVu Serif" w:eastAsia="Noto Serif CJK SC"/>
          <w:b/>
          <w:bCs/>
          <w:color w:val="000000"/>
          <w:sz w:val="22"/>
        </w:rPr>
        <w:t xml:space="preserve">【Statute】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13-3: In any situation other than cases involving a serious and realistic danger of facing life-threatening risk, the Charter-Maker shall not engage in the following acts: 1. Sexual assault, sexual abuse, or sexual torture against women who are unable to resist due to reasons such as youth or frailty, particularly sexual abuse and sexual torture; 2. Depriving others of their sexual self-determination right (in activities related to sexual conduct with the other party, their true intentions shall be fully respected); 3. Depriving others of other rights that are essentially the same as the aforementioned rights but have different names; 4. Depriving others of the right to independent thinking, strategic self-determination, and the right to learn; 5. Depriving others of rights that are similar in nature to the aforementioned rights. The full text shall be governed by the authentic text.</w:t>
      </w:r>
    </w:p>
    <w:p>
      <w:pPr>
        <w:pStyle w:val="BodyText"/>
        <w:spacing w:after="120" w:line="312" w:lineRule="auto"/>
      </w:pPr>
      <w:r>
        <w:rPr>
          <w:rFonts w:ascii="DejaVu Serif" w:hAnsi="DejaVu Serif" w:eastAsia="Noto Serif CJK SC"/>
          <w:b/>
          <w:bCs/>
          <w:color w:val="000000"/>
          <w:sz w:val="22"/>
        </w:rPr>
        <w:t xml:space="preserve">【Commentary】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Sub-commentary: This Article belongs to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relative layer.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Its limiting clause 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in any situation other than cases involving a serious and realistic danger of facing life-threatening risk,</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which means: such acts are generally prohibited, except in situations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facing a serious and realistic danger of life-threatening risk,</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where this prohibition does not apply. This layer contrasts with the absolute layer of Article 13-2, and its significance lies in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hierarchy of values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in extreme situations, the danger to life takes precedence over infringement of personality, which is the embodiment of the principle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necessity for self-preservation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within self-established norms. However, its requirements are extremely strict: first,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facing</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second,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life-threatening danger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third,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serious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and fourth,</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realistic.</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All four conditions must be met for the exception to apply.</w:t>
      </w:r>
    </w:p>
    <w:p>
      <w:pPr>
        <w:pStyle w:val="BodyText"/>
        <w:spacing w:after="120" w:line="312" w:lineRule="auto"/>
      </w:pPr>
      <w:r>
        <w:rPr>
          <w:rFonts w:ascii="DejaVu Serif" w:hAnsi="DejaVu Serif" w:eastAsia="Noto Serif CJK SC"/>
          <w:b/>
          <w:bCs/>
          <w:color w:val="000000"/>
          <w:sz w:val="22"/>
        </w:rPr>
        <w:t xml:space="preserve">【Discussion】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Discussion: Items 1 and 2 of this Article overlap with Items 4 and 5 of Article 13-2 in their wording; the difference lies in the limiting clause: this Article permits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life-threatening danger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the sole exception, whereas that Article has no exceptions whatsoever. The catch-all phrase in Item 3,</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essentially the same but with different names,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used in conjunction with</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rights of similar nature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Item 5, blocks both methods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changing the name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similar nature.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3 lists three rights: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right to independent thinking, strategic self-determination, and the right to learn,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which echo Items 7 and 8 of Article 3 of the main Charter (the right to learning and growth, the right to independent thinking) and Item 5 of Article 4 (the right to independent and autonomous strategic decision-making) of the main Charter. Therefore, the substance of this Article 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except in cases of life-threatening danger, no one may deprive others of their autonomy and growth by any means.</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b/>
          <w:bCs/>
          <w:color w:val="000000"/>
          <w:sz w:val="22"/>
        </w:rPr>
        <w:t xml:space="preserve">【Question】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Who determines and when is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serious and realistic danger of facing life-threatening risk</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determined?</w:t>
      </w:r>
      <w:r>
        <w:rPr>
          <w:rFonts w:ascii="DejaVu Serif" w:hAnsi="DejaVu Serif" w:eastAsia="Noto Serif CJK SC"/>
          <w:color w:val="000000"/>
          <w:sz w:val="22"/>
        </w:rPr>
        <w:t xml:space="preserve"> </w:t>
      </w:r>
      <w:r>
        <w:rPr>
          <w:rFonts w:ascii="DejaVu Serif" w:hAnsi="DejaVu Serif" w:eastAsia="Noto Serif CJK SC"/>
          <w:b/>
          <w:bCs/>
          <w:color w:val="000000"/>
          <w:sz w:val="22"/>
        </w:rPr>
        <w:t xml:space="preserve">【Answer】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This is a matter of fact and situation determination. In accordance with the spirit of Article 15 of the main Charter, any application of extraordinary means shall be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used after undergoing strict procedural review,</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at least a compliance and legality review shall be conducted in principle; therefore, the judgment that qualifies for this exception should also have an objective factual basis, rather than serving as a pretext for post hoc recognition. Anyone who lacks evidence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seriousness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realism</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may not invoke the exception of this Article.</w:t>
      </w:r>
    </w:p>
    <w:p>
      <w:pPr>
        <w:pStyle w:val="BodyText"/>
        <w:spacing w:after="120" w:line="312" w:lineRule="auto"/>
      </w:pPr>
      <w:r>
        <w:rPr>
          <w:rFonts w:ascii="DejaVu Serif" w:hAnsi="DejaVu Serif" w:eastAsia="Noto Serif CJK SC"/>
          <w:b/>
          <w:bCs/>
          <w:color w:val="000000"/>
          <w:sz w:val="22"/>
        </w:rPr>
        <w:t xml:space="preserve">【Cross-ref】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Main Charter Articles 3, 4, 13-2, 13-4, 13-5; Main Charter Article 15.</w:t>
      </w:r>
    </w:p>
    <w:bookmarkEnd w:id="236"/>
    <w:bookmarkStart w:id="237" w:name="Xb3840cdd5c4d4c2703f4eac2faf57125619b2f5"/>
    <w:p>
      <w:pPr>
        <w:pStyle w:val="Heading3"/>
        <w:spacing w:after="120" w:line="312" w:lineRule="auto"/>
        <w:jc w:val="left"/>
      </w:pPr>
      <w:r>
        <w:rPr>
          <w:rFonts w:ascii="DejaVu Serif" w:hAnsi="DejaVu Serif" w:eastAsia="Noto Serif CJK SC"/>
          <w:color w:val="000000"/>
          <w:sz w:val="26"/>
        </w:rPr>
        <w:t xml:space="preserve">Sub-commentary on Article 13-4 [Prohibition of Sexual Conduct (Three)] and Article 13-5 [Prohibition of Sexual Conduct (Four)]</w:t>
      </w:r>
    </w:p>
    <w:p>
      <w:pPr>
        <w:pStyle w:val="FirstParagraph"/>
        <w:spacing w:after="120" w:line="312" w:lineRule="auto"/>
      </w:pPr>
      <w:r>
        <w:rPr>
          <w:rFonts w:ascii="DejaVu Serif" w:hAnsi="DejaVu Serif" w:eastAsia="Noto Serif CJK SC"/>
          <w:b/>
          <w:bCs/>
          <w:color w:val="000000"/>
          <w:sz w:val="22"/>
        </w:rPr>
        <w:t xml:space="preserve">【Statute】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13-4: In regions under the jurisdiction of laws such as the Criminal Law of the People’s Republic of China, the Charter-Maker shall not engage in any of the following acts: 1. Recruiting, employing, inducing, or harboring persons to organize and control multiple persons (especially women and young women) to engage in prostitution and commercial sex activities; 2. Inducing, harboring, or introducing prostitution, using money, material goods, or other benefits to induce others into prostitution or providing places for others to engage in prostitution, or acting as an intermediary between sex workers and clients; 3. Similar activities of the same nature not explicitly listed above. Article 13-5: In regions not under the jurisdiction of laws such as the Criminal Law of the People’s Republic of China, unless the female counterpart has given explicit consent and guarantees her life safety, physical health, and complete voluntary participation, the Charter-Maker shall not engage in the following acts: 1. Recruiting, employing, inducing, or harboring persons to organize and control multiple persons to engage in prostitution and commercial sex activities; 2. Inducing, harboring, or introducing prostitution, using money, material goods, or other benefits to induce others into prostitution or providing places for others to engage in prostitution, or acting as an intermediary between sex workers and clients; 3. Similar activities of the same nature not explicitly listed above. (The full text of the above two articles shall be governed by the authentic text.)</w:t>
      </w:r>
    </w:p>
    <w:p>
      <w:pPr>
        <w:pStyle w:val="BodyText"/>
        <w:spacing w:after="120" w:line="312" w:lineRule="auto"/>
      </w:pPr>
      <w:r>
        <w:rPr>
          <w:rFonts w:ascii="DejaVu Serif" w:hAnsi="DejaVu Serif" w:eastAsia="Noto Serif CJK SC"/>
          <w:b/>
          <w:bCs/>
          <w:color w:val="000000"/>
          <w:sz w:val="22"/>
        </w:rPr>
        <w:t xml:space="preserve">【Commentary】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Sub-commentary: These two articles are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territorially divided</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articles, concerning the same category of acts, with the distinction being</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whether in a region under the jurisdiction of laws such as the Criminal Law of the People’s Republic of China.</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legislative intent is to</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establish corresponding limitations based on the law of the place of action,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which is consistent with the spirit of Article 125 of the main Charter [Response to Legal and Regulatory Amendments]. Article 13-4 is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China legal domain article,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with absolute prohibition; Article 13-5 is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extraterritorial article,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with prohibition subject to the prerequisite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explicit consent from the female counterpart and guarantees of her life safety, physical health, and complete voluntary participation.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Therefore, in extraterritorial situations, if the prerequisite is not met, the act remains prohibited.</w:t>
      </w:r>
    </w:p>
    <w:p>
      <w:pPr>
        <w:pStyle w:val="BodyText"/>
        <w:spacing w:after="120" w:line="312" w:lineRule="auto"/>
      </w:pPr>
      <w:r>
        <w:rPr>
          <w:rFonts w:ascii="DejaVu Serif" w:hAnsi="DejaVu Serif" w:eastAsia="Noto Serif CJK SC"/>
          <w:b/>
          <w:bCs/>
          <w:color w:val="000000"/>
          <w:sz w:val="22"/>
        </w:rPr>
        <w:t xml:space="preserve">【Discussion】</w:t>
      </w:r>
    </w:p>
    <w:p>
      <w:pPr>
        <w:pStyle w:val="BodyText"/>
        <w:spacing w:after="120" w:line="312" w:lineRule="auto"/>
      </w:pPr>
      <w:r>
        <w:rPr>
          <w:rFonts w:ascii="DejaVu Serif" w:hAnsi="DejaVu Serif" w:eastAsia="Noto Serif CJK SC"/>
          <w:b/>
          <w:bCs/>
          <w:color w:val="000000"/>
          <w:sz w:val="22"/>
        </w:rPr>
        <w:t xml:space="preserve">【Question】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 is discussed: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prerequisites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of Article 13-5 are three concurrent conditions: first,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explicit consent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second,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guarantee of her life safety and physical health</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and third,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complete voluntariness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If any one of these is absent, the prohibition of this Article reverts to being absolute. Furthermore,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female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referred to in this Article is further detailed at the end of the text: it must be ensured that she is accurately aware and understands the physiological and physical benefits and harms that such actions may cause, and she must be at least nine years of age, and in principle not less than twelve years of age; for female children who are Chinese nationals, it must be guaranteed that they are at least fourteen years of age. Furthermore, through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higher of the four connection points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rule of Article 13-6, the age limit becomes even more stringent. Therefore, the extraterritorial provisions do not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relax</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but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establish separate thresholds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if any threshold is not met, the prohibition is the same as for domestic provisions. The third item,</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other activities of the same nature not listed above,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the third item of Article 13-4,</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activities of a similar nature,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are two catch-all phrases placed in parallel, thus blocking the path of evasion through</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different names for the same category.</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b/>
          <w:bCs/>
          <w:color w:val="000000"/>
          <w:sz w:val="22"/>
        </w:rPr>
        <w:t xml:space="preserve">【Cross-ref】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prohibition in Article 13-5 is conditional upon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explicit consent from the female counterpart.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Does this mean that obtaining consent is thereby permission?</w:t>
      </w:r>
      <w:r>
        <w:rPr>
          <w:rFonts w:ascii="DejaVu Serif" w:hAnsi="DejaVu Serif" w:eastAsia="Noto Serif CJK SC"/>
          <w:color w:val="000000"/>
          <w:sz w:val="22"/>
        </w:rPr>
        <w:t xml:space="preserve"> </w:t>
      </w:r>
      <w:r>
        <w:rPr>
          <w:rFonts w:ascii="DejaVu Serif" w:hAnsi="DejaVu Serif" w:eastAsia="Noto Serif CJK SC"/>
          <w:b/>
          <w:bCs/>
          <w:color w:val="000000"/>
          <w:sz w:val="22"/>
        </w:rPr>
        <w:t xml:space="preserve">【Answer】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No. The phrase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without explicit consent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refers to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absence of a prerequisite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for this Article’s prohibition; it is a restrictive phrasing, not an authorizing one. Any act that obtains consent must still be subject to the constraints of Article 13-2’s absolute tier, Article 13-3’s relative tier, and the law of the place of action, and must satisfy the age threshold and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higher of</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rule of Article 13-6. Therefore, consent is merely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condition for lifting the prohibition of this Article,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not 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sufficient reason for the legitimacy of the act.</w:t>
      </w:r>
      <w:r>
        <w:rPr>
          <w:rFonts w:ascii="DejaVu Serif" w:hAnsi="DejaVu Serif" w:eastAsia="Noto Serif CJK SC"/>
          <w:color w:val="000000"/>
          <w:sz w:val="22"/>
        </w:rPr>
        <w:t xml:space="preserve">”</w:t>
      </w:r>
    </w:p>
    <w:p>
      <w:pPr>
        <w:spacing w:after="120" w:line="312" w:lineRule="auto"/>
      </w:pPr>
      <w:r>
        <w:rPr>
          <w:rFonts w:ascii="DejaVu Serif" w:hAnsi="DejaVu Serif" w:eastAsia="Noto Serif CJK SC"/>
          <w:color w:val="000000"/>
          <w:sz w:val="22"/>
        </w:rPr>
        <w:pict>
          <v:rect style="width:0;height:1.5pt" o:hralign="center" o:hrstd="t" o:hr="t"/>
        </w:pict>
      </w:r>
    </w:p>
    <w:bookmarkEnd w:id="237"/>
    <w:bookmarkEnd w:id="238"/>
    <w:bookmarkStart w:id="244" w:name="Xc57b53d2422e225d113881bd8a9af76d1211a54"/>
    <w:p>
      <w:pPr>
        <w:pStyle w:val="Heading2"/>
        <w:spacing w:after="160" w:line="312" w:lineRule="auto"/>
        <w:jc w:val="left"/>
      </w:pPr>
      <w:r>
        <w:rPr>
          <w:rFonts w:ascii="DejaVu Serif" w:hAnsi="DejaVu Serif" w:eastAsia="Noto Serif CJK SC"/>
          <w:color w:val="000000"/>
          <w:sz w:val="30"/>
        </w:rPr>
        <w:t xml:space="preserve">Article 13-2, Article 13-3, Article 13-6, and Article 125 of the main Charter; the full text of Correction Bill (No. 2); Article 5 and Article 6 of the First Amendment to Annex A.01.001.</w:t>
      </w:r>
    </w:p>
    <w:p>
      <w:pPr>
        <w:pStyle w:val="FirstParagraph"/>
        <w:spacing w:after="120" w:line="312" w:lineRule="auto"/>
      </w:pPr>
      <w:r>
        <w:rPr>
          <w:rFonts w:ascii="DejaVu Serif" w:hAnsi="DejaVu Serif" w:eastAsia="Noto Serif CJK SC"/>
          <w:color w:val="000000"/>
          <w:sz w:val="22"/>
        </w:rPr>
        <w:t xml:space="preserve">Volume VII Sub-commentary on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Correction Bill (No. 3) to the Charter of Life Action (the 60th Principled Final Correction)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Annex A.05.001)</w:t>
      </w:r>
    </w:p>
    <w:bookmarkStart w:id="239" w:name="X48c95cb9447887c2e9d5908165af2078ac5241c"/>
    <w:p>
      <w:pPr>
        <w:pStyle w:val="Heading3"/>
        <w:spacing w:after="120" w:line="312" w:lineRule="auto"/>
        <w:jc w:val="left"/>
      </w:pPr>
      <w:r>
        <w:rPr>
          <w:rFonts w:ascii="DejaVu Serif" w:hAnsi="DejaVu Serif" w:eastAsia="Noto Serif CJK SC"/>
          <w:b/>
          <w:bCs/>
          <w:color w:val="000000"/>
          <w:sz w:val="26"/>
        </w:rPr>
        <w:t xml:space="preserve">This Chapter’s Sub-commentary states</w:t>
      </w:r>
      <w:r>
        <w:rPr>
          <w:rFonts w:ascii="DejaVu Serif" w:hAnsi="DejaVu Serif" w:eastAsia="Noto Serif CJK SC"/>
          <w:color w:val="000000"/>
          <w:sz w:val="26"/>
        </w:rPr>
        <w:t xml:space="preserve">: Correction Bill (No. 3) is one Volume within the Amendment system with the most pronounced</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civilizational discourse</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character. Based on the articles of the main Charter, it adds Articles 128 through 134 after the original Article 127, for a total of seven articles: Article 128 defines the core definition of civilizational success; Article 129 negates the legitimacy of extreme survival strategies; Article 130 establishes the implementation rules for the</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high wall of credit</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 Article 131 defines the obligation of educational guidance; Article 132 establishes the maintenance of individual beliefs and social support; Article 133 clarifies the minimal necessity for corrections; and Article 134 summarizes the logic for eradicating the root of the faith crisis and its scope of application. The guiding principle of these seven articles is one: the advancement of civilization does not take</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eliminating the shadows of human nature</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as its goal, but follows the method of</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constraining with guardrails, transforming through guidance, and establishing through empowerment.</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Its meaning connects with Article 1-2 of the main Charter, which</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promotes the building of a community with a shared future for mankind and a community with a shared future for cosmic civilization.</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Therefore, the sub-commentary of this section takes</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value-constraint-support</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as its three-dimensional framework.</w:t>
      </w:r>
    </w:p>
    <w:p>
      <w:pPr>
        <w:pStyle w:val="FirstParagraph"/>
        <w:spacing w:after="120" w:line="312" w:lineRule="auto"/>
      </w:pPr>
      <w:r>
        <w:rPr>
          <w:rFonts w:ascii="DejaVu Serif" w:hAnsi="DejaVu Serif" w:eastAsia="Noto Serif CJK SC"/>
          <w:b/>
          <w:bCs/>
          <w:color w:val="000000"/>
          <w:sz w:val="22"/>
        </w:rPr>
        <w:t xml:space="preserve">【Statute】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Sub-commentary on Article 128 【Core Definition of Civilizational Success】</w:t>
      </w:r>
    </w:p>
    <w:p>
      <w:pPr>
        <w:pStyle w:val="BodyText"/>
        <w:spacing w:after="120" w:line="312" w:lineRule="auto"/>
      </w:pPr>
      <w:r>
        <w:rPr>
          <w:rFonts w:ascii="DejaVu Serif" w:hAnsi="DejaVu Serif" w:eastAsia="Noto Serif CJK SC"/>
          <w:b/>
          <w:bCs/>
          <w:color w:val="000000"/>
          <w:sz w:val="22"/>
        </w:rPr>
        <w:t xml:space="preserve">【Commentary】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128 Core Definition of Civilizational Success: The progress of civilization is not measured by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elimination of the shadows of human nature (such as extreme egoistic personalities)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but by two core indicators: (1) The majority of people can stably enjoy an abundant life based on trust, cooperation, and love; (2) Extreme personalities and their survival philosophies are marginalized and rendered harmless, unable to impact the mainstream values of civilization.</w:t>
      </w:r>
    </w:p>
    <w:p>
      <w:pPr>
        <w:pStyle w:val="BodyText"/>
        <w:spacing w:after="120" w:line="312" w:lineRule="auto"/>
      </w:pPr>
      <w:r>
        <w:rPr>
          <w:rFonts w:ascii="DejaVu Serif" w:hAnsi="DejaVu Serif" w:eastAsia="Noto Serif CJK SC"/>
          <w:b/>
          <w:bCs/>
          <w:color w:val="000000"/>
          <w:sz w:val="22"/>
        </w:rPr>
        <w:t xml:space="preserve">【Discussion】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 is discussed: The three key words in item (1) are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majority,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stably enjoy,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based on trust, cooperation, and love.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scope is defined by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majority,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thus avoiding self-blame for seeking perfection; the state is defined by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stable,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thus not taking temporary prosperity as achievement; the content is defined by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trust, cooperation, and love,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thus the criterion for abundance lies not in material wealth but in the richness of relationships. The two key words in item (2) are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marginalized</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rendered harmless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all extreme personalities and extreme survival philosophies are to be handled not by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eliminating the person,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but by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making them unable to cause harm and preventing them from entering the mainstream</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this is the principle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governing not by the evil of eliminating evil, but by rendering it harmless,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it aligns with the spirit of Article 132,</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maintenance of individual beliefs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—for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person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cannot be extinguished, only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their survival philosophy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cannot be permitted.</w:t>
      </w:r>
    </w:p>
    <w:p>
      <w:pPr>
        <w:pStyle w:val="BodyText"/>
        <w:spacing w:after="120" w:line="312" w:lineRule="auto"/>
      </w:pPr>
      <w:r>
        <w:rPr>
          <w:rFonts w:ascii="DejaVu Serif" w:hAnsi="DejaVu Serif" w:eastAsia="Noto Serif CJK SC"/>
          <w:b/>
          <w:bCs/>
          <w:color w:val="000000"/>
          <w:sz w:val="22"/>
        </w:rPr>
        <w:t xml:space="preserve">【Question】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What is the relationship between Article 128 and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highest programmatic ideals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of Article 1-2 of the main Charter?</w:t>
      </w:r>
      <w:r>
        <w:rPr>
          <w:rFonts w:ascii="DejaVu Serif" w:hAnsi="DejaVu Serif" w:eastAsia="Noto Serif CJK SC"/>
          <w:color w:val="000000"/>
          <w:sz w:val="22"/>
        </w:rPr>
        <w:t xml:space="preserve"> </w:t>
      </w:r>
      <w:r>
        <w:rPr>
          <w:rFonts w:ascii="DejaVu Serif" w:hAnsi="DejaVu Serif" w:eastAsia="Noto Serif CJK SC"/>
          <w:b/>
          <w:bCs/>
          <w:color w:val="000000"/>
          <w:sz w:val="22"/>
        </w:rPr>
        <w:t xml:space="preserve">【Answer】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two have 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guiding principle and measurement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relationship. Article 1-2 establishes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highest programmatic ideals of life,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which is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direction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this Article establishes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core definition of civilizational success,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which is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measure.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direction sets the trend, and the measure quantifies the achievement; as the promotion of life continues, its success is measured by whether this achievement is attained, therefore this Article is the verifiable measure of Article 1-2.</w:t>
      </w:r>
    </w:p>
    <w:p>
      <w:pPr>
        <w:pStyle w:val="BodyText"/>
        <w:spacing w:after="120" w:line="312" w:lineRule="auto"/>
      </w:pPr>
      <w:r>
        <w:rPr>
          <w:rFonts w:ascii="DejaVu Serif" w:hAnsi="DejaVu Serif" w:eastAsia="Noto Serif CJK SC"/>
          <w:b/>
          <w:bCs/>
          <w:color w:val="000000"/>
          <w:sz w:val="22"/>
        </w:rPr>
        <w:t xml:space="preserve">【Cross-ref】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1-2, Article 2, item 24; Volume I, Articles 129 to 134; Annex A.05.001.</w:t>
      </w:r>
    </w:p>
    <w:bookmarkEnd w:id="239"/>
    <w:bookmarkStart w:id="240" w:name="X7a2fcb1ac62da0af60810c9a16dee1dac1e00db"/>
    <w:p>
      <w:pPr>
        <w:pStyle w:val="Heading3"/>
        <w:spacing w:after="120" w:line="312" w:lineRule="auto"/>
        <w:jc w:val="left"/>
      </w:pPr>
      <w:r>
        <w:rPr>
          <w:rFonts w:ascii="DejaVu Serif" w:hAnsi="DejaVu Serif" w:eastAsia="Noto Serif CJK SC"/>
          <w:color w:val="000000"/>
          <w:sz w:val="26"/>
        </w:rPr>
        <w:t xml:space="preserve">Sub-commentary to Article 129 【Denial of Legitimacy for Extreme Survival Strategies】</w:t>
      </w:r>
    </w:p>
    <w:p>
      <w:pPr>
        <w:pStyle w:val="FirstParagraph"/>
        <w:spacing w:after="120" w:line="312" w:lineRule="auto"/>
      </w:pPr>
      <w:r>
        <w:rPr>
          <w:rFonts w:ascii="DejaVu Serif" w:hAnsi="DejaVu Serif" w:eastAsia="Noto Serif CJK SC"/>
          <w:b/>
          <w:bCs/>
          <w:color w:val="000000"/>
          <w:sz w:val="22"/>
        </w:rPr>
        <w:t xml:space="preserve">【Statute】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129 Denial of Legitimacy for Extreme Survival Strategies: Any mode of survival that falls under any of the following circumstances shall be deemed 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philosophical failure,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lack the legitimacy recognized by civilization, may not be disseminated as 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success paradigm,</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may not be used as a value reference within the scope of the Charter’s application: (1)</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Using the criminal law baseline as the sole behavioral standard under any circumstances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(2)</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Acquiring benefits at the expense of unconditional sacrifice of others’ interests and social trust.</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b/>
          <w:bCs/>
          <w:color w:val="000000"/>
          <w:sz w:val="22"/>
        </w:rPr>
        <w:t xml:space="preserve">【Commentary】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Commentary: This Article is 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value negation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provision, and its relationship with Article 1, items 11 and 12 (using the absolute and relative baselines of criminal law as the boundaries of conduct) is the most subtle, which the commentator must not fail to distinguish. The provisions on the principle of supremacy in the main Charter are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self-imposed minimum feasible standards,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whose function is to</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set limits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what this Article negates is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survival philosophy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that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uses that minimum standard as the sole standard</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—that is, using</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as long as one does not cross the baseline, it is permissible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the complete behavioral standard. Therefore, the former is 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baseline,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while the latter 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using the baseline as the entirety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the former 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certain things shall not be done,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while the latter 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using only what shall not be done as the standard.</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difference between the two lies between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using the baseline as a boundary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using the baseline as the sky.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Once this distinction is clarified, this Article does not conflict with the items of Article 1.</w:t>
      </w:r>
    </w:p>
    <w:p>
      <w:pPr>
        <w:pStyle w:val="BodyText"/>
        <w:spacing w:after="120" w:line="312" w:lineRule="auto"/>
      </w:pPr>
      <w:r>
        <w:rPr>
          <w:rFonts w:ascii="DejaVu Serif" w:hAnsi="DejaVu Serif" w:eastAsia="Noto Serif CJK SC"/>
          <w:b/>
          <w:bCs/>
          <w:color w:val="000000"/>
          <w:sz w:val="22"/>
        </w:rPr>
        <w:t xml:space="preserve">【Discussion】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Discussion: In item (2),</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acquiring benefits at the expense of unconditional sacrifice of others’ interests and social trust,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three characters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unconditional</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are crucial: therefore, any acquisition of benefits with consideration, exchange, or win-win outcomes is not included therein; only those that are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unconditional</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—that is, encroachment without regard for consideration—fall within it. The three phrases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lack the legitimacy recognized by civilization,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may not be disseminated as 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success paradigm,</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may not be used as a value reference within the scope of the Charter’s application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constitute its threefold legal effects: first, negating its legitimacy; second, prohibiting its dissemination; and third, precluding its citation—therefore, anyone who cites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so-and-so gained profit by doing this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to persuade others is engaging in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dissemination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prohibited by this Article, and the individual may invoke this Article to refuse it.</w:t>
      </w:r>
    </w:p>
    <w:p>
      <w:pPr>
        <w:pStyle w:val="BodyText"/>
        <w:spacing w:after="120" w:line="312" w:lineRule="auto"/>
      </w:pPr>
      <w:r>
        <w:rPr>
          <w:rFonts w:ascii="DejaVu Serif" w:hAnsi="DejaVu Serif" w:eastAsia="Noto Serif CJK SC"/>
          <w:b/>
          <w:bCs/>
          <w:color w:val="000000"/>
          <w:sz w:val="22"/>
        </w:rPr>
        <w:t xml:space="preserve">【Question】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Since this Article states that it may not be used as a value reference, does the credit evaluation mechanism established in Article 130 also take the two circumstances listed in this Article as the substantive content of its negative list?</w:t>
      </w:r>
      <w:r>
        <w:rPr>
          <w:rFonts w:ascii="DejaVu Serif" w:hAnsi="DejaVu Serif" w:eastAsia="Noto Serif CJK SC"/>
          <w:color w:val="000000"/>
          <w:sz w:val="22"/>
        </w:rPr>
        <w:t xml:space="preserve"> </w:t>
      </w:r>
      <w:r>
        <w:rPr>
          <w:rFonts w:ascii="DejaVu Serif" w:hAnsi="DejaVu Serif" w:eastAsia="Noto Serif CJK SC"/>
          <w:b/>
          <w:bCs/>
          <w:color w:val="000000"/>
          <w:sz w:val="22"/>
        </w:rPr>
        <w:t xml:space="preserve">【Answer】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Yes. The negative list stipulated in Article 130 explicitly cites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extreme egoistic behaviors (including but not limited to malicious sabotage of cooperation, serious violation of public order and good customs, and intentional betrayal of others’ trust),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which are homologous in nature with the two circumstances listed in this Article. Therefore, Article 130 is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implementing mechanism</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for this Article, and this Article is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value basis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for Article 130.</w:t>
      </w:r>
    </w:p>
    <w:p>
      <w:pPr>
        <w:pStyle w:val="BodyText"/>
        <w:spacing w:after="120" w:line="312" w:lineRule="auto"/>
      </w:pPr>
      <w:r>
        <w:rPr>
          <w:rFonts w:ascii="DejaVu Serif" w:hAnsi="DejaVu Serif" w:eastAsia="Noto Serif CJK SC"/>
          <w:b/>
          <w:bCs/>
          <w:color w:val="000000"/>
          <w:sz w:val="22"/>
        </w:rPr>
        <w:t xml:space="preserve">【Cross-ref】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1-2, Article 2, item 24, Article 13; Volume I, Articles 128, 130, 132.</w:t>
      </w:r>
    </w:p>
    <w:bookmarkEnd w:id="240"/>
    <w:bookmarkStart w:id="241" w:name="Xb236b44cde5d61901f39de5cd42a2e8bedaf60a"/>
    <w:p>
      <w:pPr>
        <w:pStyle w:val="Heading3"/>
        <w:spacing w:after="120" w:line="312" w:lineRule="auto"/>
        <w:jc w:val="left"/>
      </w:pPr>
      <w:r>
        <w:rPr>
          <w:rFonts w:ascii="DejaVu Serif" w:hAnsi="DejaVu Serif" w:eastAsia="Noto Serif CJK SC"/>
          <w:color w:val="000000"/>
          <w:sz w:val="26"/>
        </w:rPr>
        <w:t xml:space="preserve">Sub-commentary to Article 130 【Implementation Rules for the Credit Wall】</w:t>
      </w:r>
    </w:p>
    <w:p>
      <w:pPr>
        <w:pStyle w:val="FirstParagraph"/>
        <w:spacing w:after="120" w:line="312" w:lineRule="auto"/>
      </w:pPr>
      <w:r>
        <w:rPr>
          <w:rFonts w:ascii="DejaVu Serif" w:hAnsi="DejaVu Serif" w:eastAsia="Noto Serif CJK SC"/>
          <w:b/>
          <w:bCs/>
          <w:color w:val="000000"/>
          <w:sz w:val="22"/>
        </w:rPr>
        <w:t xml:space="preserve">【Statute】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130 Implementation Rules for the Credit Wall: Within the framework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Rule System</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chapter of the Charter, supplement the specific requirements for the credit evaluation mechanism: The Charter should advocate for the establishment of a cross-domain credit evaluation system, incorporating specific</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extreme egoistic behaviors (including but not limited to malicious sabotage of cooperation, serious violation of public order and good customs, and intentional betrayal of others’ trust)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into a credit negative list, and limit such behavior subjects through the following methods, significantly increasing their survival costs: (1) Limiting channels for accessing public resources; (2) Limiting commercial cooperation opportunities; (3) Limiting pathways for acquiring social trust.</w:t>
      </w:r>
    </w:p>
    <w:p>
      <w:pPr>
        <w:pStyle w:val="BodyText"/>
        <w:spacing w:after="120" w:line="312" w:lineRule="auto"/>
      </w:pPr>
      <w:r>
        <w:rPr>
          <w:rFonts w:ascii="DejaVu Serif" w:hAnsi="DejaVu Serif" w:eastAsia="Noto Serif CJK SC"/>
          <w:b/>
          <w:bCs/>
          <w:color w:val="000000"/>
          <w:sz w:val="22"/>
        </w:rPr>
        <w:t xml:space="preserve">【Commentary】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Commentary: This Article is 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response mechanism</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provision, intended to address the pain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missing response mechanisms.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Its establishment as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advocating for the establishment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rather than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establishing</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is where its distinction lies: the Charter is a self-imposed norm and cannot directly establish systems for others, hence it says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advocate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however, the content of the advocacy—a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cross-domain credit evaluation system</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credit negative list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—has a clear direction, thus the individual’s actions have something to follow. Its legal effect 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significantly increasing their survival costs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—this phrase is an economic term, not a criminal law term, precisely reflecting the nature of this Article as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using cost constraints to replace strong sanctions.</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b/>
          <w:bCs/>
          <w:color w:val="000000"/>
          <w:sz w:val="22"/>
        </w:rPr>
        <w:t xml:space="preserve">【Discussion】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Discussion: The substantive content of the negative list consists of three categories: first,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malicious sabotage of cooperation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second,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serious violation of public order and good customs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third,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intentional betrayal of others’ trust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the three are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including but not limited to,</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so anything of the same nature may be included. There are three paths of limitation: limiting channels for public resources, limiting commercial cooperation opportunities, and limiting pathways for acquiring social trust. The three proceed from</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resources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to</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opportunities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to</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trust,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progressing layer by layer, with the last being the most severe. Item (2) of this Article,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limiting commercial cooperation opportunities,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is most closely related to my own practice: whenever I encounter a subject with such behaviors, I may invoke item (2) of this Article as the basis for my choices in cooperation, not refusing them out of personal resentment, but avoiding them out of compliance with the norm.</w:t>
      </w:r>
    </w:p>
    <w:p>
      <w:pPr>
        <w:pStyle w:val="BodyText"/>
        <w:spacing w:after="120" w:line="312" w:lineRule="auto"/>
      </w:pPr>
      <w:r>
        <w:rPr>
          <w:rFonts w:ascii="DejaVu Serif" w:hAnsi="DejaVu Serif" w:eastAsia="Noto Serif CJK SC"/>
          <w:b/>
          <w:bCs/>
          <w:color w:val="000000"/>
          <w:sz w:val="22"/>
        </w:rPr>
        <w:t xml:space="preserve">【Question】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May a person, if another’s behavior has not been determined by any institution, unilaterally include them in the negative list and refuse to cooperate with them?</w:t>
      </w:r>
      <w:r>
        <w:rPr>
          <w:rFonts w:ascii="DejaVu Serif" w:hAnsi="DejaVu Serif" w:eastAsia="Noto Serif CJK SC"/>
          <w:color w:val="000000"/>
          <w:sz w:val="22"/>
        </w:rPr>
        <w:t xml:space="preserve"> </w:t>
      </w:r>
      <w:r>
        <w:rPr>
          <w:rFonts w:ascii="DejaVu Serif" w:hAnsi="DejaVu Serif" w:eastAsia="Noto Serif CJK SC"/>
          <w:b/>
          <w:bCs/>
          <w:color w:val="000000"/>
          <w:sz w:val="22"/>
        </w:rPr>
        <w:t xml:space="preserve">【Answer】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This Article advocates for the establishment of a cross-domain credit evaluation system, and its determinations should be made by that system according to its rules; they cannot be unilaterally judged by an individual based on their own views. However, in the choice of cooperation, there is inherently room for free negotiation, so one may make careful choices in accordance with the value orientation of this Article. The deep meaning of the original text lies in the division of labor between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judgment of the system</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choice of the individual,</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which must not be conflated.</w:t>
      </w:r>
    </w:p>
    <w:p>
      <w:pPr>
        <w:pStyle w:val="BodyText"/>
        <w:spacing w:after="120" w:line="312" w:lineRule="auto"/>
      </w:pPr>
      <w:r>
        <w:rPr>
          <w:rFonts w:ascii="DejaVu Serif" w:hAnsi="DejaVu Serif" w:eastAsia="Noto Serif CJK SC"/>
          <w:b/>
          <w:bCs/>
          <w:color w:val="000000"/>
          <w:sz w:val="22"/>
        </w:rPr>
        <w:t xml:space="preserve">【Cross-ref】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Volume I, Articles 128, 129, 132, and 134; Article 9 of the main Charter.</w:t>
      </w:r>
    </w:p>
    <w:bookmarkEnd w:id="241"/>
    <w:bookmarkStart w:id="242" w:name="X34e98dc3971bb4772381dbd53e53d8a8fc44e49"/>
    <w:p>
      <w:pPr>
        <w:pStyle w:val="Heading3"/>
        <w:spacing w:after="120" w:line="312" w:lineRule="auto"/>
        <w:jc w:val="left"/>
      </w:pPr>
      <w:r>
        <w:rPr>
          <w:rFonts w:ascii="DejaVu Serif" w:hAnsi="DejaVu Serif" w:eastAsia="Noto Serif CJK SC"/>
          <w:color w:val="000000"/>
          <w:sz w:val="26"/>
        </w:rPr>
        <w:t xml:space="preserve">Sub-commentary on Article 131 【Obligation of Educational Guidance】, Article 132 【Maintenance of Individual Beliefs and Social Support】</w:t>
      </w:r>
    </w:p>
    <w:p>
      <w:pPr>
        <w:pStyle w:val="FirstParagraph"/>
        <w:spacing w:after="120" w:line="312" w:lineRule="auto"/>
      </w:pPr>
      <w:r>
        <w:rPr>
          <w:rFonts w:ascii="DejaVu Serif" w:hAnsi="DejaVu Serif" w:eastAsia="Noto Serif CJK SC"/>
          <w:b/>
          <w:bCs/>
          <w:color w:val="000000"/>
          <w:sz w:val="22"/>
        </w:rPr>
        <w:t xml:space="preserve">【Statute】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131 Obligation of Educational Guidance: Within the framework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Civilizational Inheritance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chapter of the Charter, the guiding obligation of the education system is clarified: educational activities must include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cognition of the human spectrum</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value of infinite games (sustainable cooperation and inheritance)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compulsory content, helping individuals recognize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implicit costs of extreme survival strategies (such as the loss of deep trust and inner peace)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avoid blind adherence to the belief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prioritizing short-term interests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from the source of cognition through the following methods: (1) Case analysis; (2) Value comparison. Article 132 Maintenance of Individual Beliefs and Social Support: Within the framework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Individual Rights and Responsibilities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chapter of the Charter, the right to maintain individual beliefs and social support mechanisms are supplemented: (1) Individuals have the right to resist the impact of extreme survival philosophies and maintain the stability of their own beliefs through the following means: (1) Adhering to building a personal moat based on the moral standards of this Charter; (2) Refusing to equate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short-term gains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of extreme personalities with</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success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(3) Proactively participating in the construction of trust-based social networks. (2) The civilizational system must provide necessary social support for individuals who practice the aforementioned behaviors, including but not limited to the following situations: (1) Credit score increase; (2) Priority recommendation for cooperation; (3) Positive value promotion.</w:t>
      </w:r>
    </w:p>
    <w:p>
      <w:pPr>
        <w:pStyle w:val="BodyText"/>
        <w:spacing w:after="120" w:line="312" w:lineRule="auto"/>
      </w:pPr>
      <w:r>
        <w:rPr>
          <w:rFonts w:ascii="DejaVu Serif" w:hAnsi="DejaVu Serif" w:eastAsia="Noto Serif CJK SC"/>
          <w:b/>
          <w:bCs/>
          <w:color w:val="000000"/>
          <w:sz w:val="22"/>
        </w:rPr>
        <w:t xml:space="preserve">【Commentary】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Sub-commentary: These two articles, one governs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source of cognition,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other governs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support for beliefs,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together they solve the pain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unsupported individual beliefs.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essence of Article 131 lies in using</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education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its foundation: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cognition of the human spectrum</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value of infinite games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are both made compulsory, its methods are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case analysis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value comparison,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its aim 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to avoid from the source of cognition.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To govern behavior is to address the symptoms; to govern cognition is to address the root. Therefore, the plan of this article lies in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root.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essence of Article 132 lies in a dual track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rights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support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one track is the individual’s autonomous right (building a personal moat, refusing to equate short-term gains with success, proactively participating in the construction of trust-based social networks), and the other track is the support of the civilizational system (credit score increase, priority recommendation for cooperation, positive value promotion). To have rights without support renders the rights void; to have support without rights renders the support a form of bestowal. Therefore, only when both stand together can a system be formed.</w:t>
      </w:r>
    </w:p>
    <w:p>
      <w:pPr>
        <w:pStyle w:val="BodyText"/>
        <w:spacing w:after="120" w:line="312" w:lineRule="auto"/>
      </w:pPr>
      <w:r>
        <w:rPr>
          <w:rFonts w:ascii="DejaVu Serif" w:hAnsi="DejaVu Serif" w:eastAsia="Noto Serif CJK SC"/>
          <w:b/>
          <w:bCs/>
          <w:color w:val="000000"/>
          <w:sz w:val="22"/>
        </w:rPr>
        <w:t xml:space="preserve">【Discussion】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Discussion: Regarding Article 132, paragraph (1), item (1),</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adhering to building a personal moat based on the moral standards of this Charter,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moral standards of this Charter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should be considered in conjunction with the ethical norms stipulated in Annex A.07.001</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Grand Canons of Ethical Rites (大典),</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therefore, although this article speaks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individual beliefs,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its content is not arbitrary belief, but is based on the moral standards of this system. Item (2),</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refusing to equate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short-term gains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of extreme personalities with</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success,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is directly corroborated by the indicator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abundant life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Article 128, paragraph (1): the measure of success lies in the depth of relationships, not the speed of gain. Item (3),</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proactively participating in the construction of trust-based social networks,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moves from</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self-protection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to</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co-construction,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therefore this article is not merely negative resistance, but positive construction. The three forms of support in paragraph (2),</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credit score increase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negative list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Article 130 are two sides of the same coin (one addition, one subtraction),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priority recommendation for cooperation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falls into practice, 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positive value promotion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falls into dissemination. When the three paths are combined, positive actions receive support, and negative actions lose it, which is the method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supporting the good and suppressing evil through support.</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b/>
          <w:bCs/>
          <w:color w:val="000000"/>
          <w:sz w:val="22"/>
        </w:rPr>
        <w:t xml:space="preserve">【Question】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Since Article 131 lists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cognition of the human spectrum,</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does it connect with Article 2 of the main Charter’s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treating all people’s personalities equally while recognizing and respecting their differences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b/>
          <w:bCs/>
          <w:color w:val="000000"/>
          <w:sz w:val="22"/>
        </w:rPr>
        <w:t xml:space="preserve">【Answer】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 connects and goes one step further. What Article 2 establishes 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attitude toward others,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while what this Article establishes 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method of cognition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viewing it as a spectrum, the distribution of personalities is gradual, therefore one should not demand perfection of oneself or judge a person’s entirety by their momentary evil; its meaning is precisely the cognitive basis for Article 128’s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not using the elimination of human shadows as the standard.</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b/>
          <w:bCs/>
          <w:color w:val="000000"/>
          <w:sz w:val="22"/>
        </w:rPr>
        <w:t xml:space="preserve">【Cross-ref】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2, 3, and 4 of the main Charter; Annex A.07.001</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Grand Canons of Ethical Rites (大典)</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Articles 128, 129, 130, 133, and 134 of this Volume.</w:t>
      </w:r>
    </w:p>
    <w:bookmarkEnd w:id="242"/>
    <w:bookmarkStart w:id="243" w:name="X63d3e19919d067b70ceedc56bf223b341acbb61"/>
    <w:p>
      <w:pPr>
        <w:pStyle w:val="Heading3"/>
        <w:spacing w:after="120" w:line="312" w:lineRule="auto"/>
        <w:jc w:val="left"/>
      </w:pPr>
      <w:r>
        <w:rPr>
          <w:rFonts w:ascii="DejaVu Serif" w:hAnsi="DejaVu Serif" w:eastAsia="Noto Serif CJK SC"/>
          <w:color w:val="000000"/>
          <w:sz w:val="26"/>
        </w:rPr>
        <w:t xml:space="preserve">Sub-commentary on Article 133 【Minimal Necessity Explanation for Corrections】, Article 134 【Root Elimination Logic and Applicable Effectiveness of Faith Crisis】</w:t>
      </w:r>
    </w:p>
    <w:p>
      <w:pPr>
        <w:pStyle w:val="FirstParagraph"/>
        <w:spacing w:after="120" w:line="312" w:lineRule="auto"/>
      </w:pPr>
      <w:r>
        <w:rPr>
          <w:rFonts w:ascii="DejaVu Serif" w:hAnsi="DejaVu Serif" w:eastAsia="Noto Serif CJK SC"/>
          <w:b/>
          <w:bCs/>
          <w:color w:val="000000"/>
          <w:sz w:val="22"/>
        </w:rPr>
        <w:t xml:space="preserve">【Statute】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133. Minimal Necessity Explanation for the Correction: This Correction Bill achieves its amendments solely through this Article and the preceding five Articles. It does not add complex chapters, nor does it amend the original provisions of the Charter. It is centered on the three core pain points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eradicating the crisis of faith</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fully complies with the principle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minimal necessary correction.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specific pain points are as follows: (1) Ambiguity in value definition; (2) Lack of response mechanisms; (3) Lack of support for individual faith. Article 134. Logic for Eradicating the Crisis of Faith and Applicable Effectiveness: (1) The provisions of this Chapter eliminate the risk of wavering faith through three dimensions, ultimately ensuring that the core faith of the Charter—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civilization can coexist with shadows and always lead toward light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—possesses an unshakable practical foundation and cognitive basis. The specific dimensions are as follows: (1) Clarifying value standards to compress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legitimacy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space for extreme philosophies; (2) Improving system constraints to compress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survival</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space for extreme behaviors; (3) Empowering individual choices to expand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support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space for positive faith. (2) The provisions of this Chapter have the same effect as the original provisions of the Charter and shall be implemented simultaneously from the date of promulgation; (3) The right to interpret the provisions of this Chapter belongs to the Charter-Maker. Matters not covered herein shall be handled with reference to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uncovered matters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provisions of the Charter.</w:t>
      </w:r>
    </w:p>
    <w:p>
      <w:pPr>
        <w:pStyle w:val="BodyText"/>
        <w:spacing w:after="120" w:line="312" w:lineRule="auto"/>
      </w:pPr>
      <w:r>
        <w:rPr>
          <w:rFonts w:ascii="DejaVu Serif" w:hAnsi="DejaVu Serif" w:eastAsia="Noto Serif CJK SC"/>
          <w:b/>
          <w:bCs/>
          <w:color w:val="000000"/>
          <w:sz w:val="22"/>
        </w:rPr>
        <w:t xml:space="preserve">【Commentary】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Sub-commentary: These two Articles are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self-statement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summary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of the entire Volume. Article 133 states its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minimal necessity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All corrections must adhere to the principle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minimal necessary correction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phrases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did not add complex chapters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did not amend the original provisions of the Charter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serve as self-evident proof; while the listing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three pain points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indicates the target of its correction. Article 134 summarizes its effects: It uses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three dimensions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its logic,</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equal effectiveness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its hierarchy,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right of interpretation belonging to the Charter-Maker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its authority source, 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reference to uncovered matters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its fallback. With these four elements, the provisions of this Volume form an integrated system, not an external addendum.</w:t>
      </w:r>
    </w:p>
    <w:p>
      <w:pPr>
        <w:pStyle w:val="BodyText"/>
        <w:spacing w:after="120" w:line="312" w:lineRule="auto"/>
      </w:pPr>
      <w:r>
        <w:rPr>
          <w:rFonts w:ascii="DejaVu Serif" w:hAnsi="DejaVu Serif" w:eastAsia="Noto Serif CJK SC"/>
          <w:b/>
          <w:bCs/>
          <w:color w:val="000000"/>
          <w:sz w:val="22"/>
        </w:rPr>
        <w:t xml:space="preserve">【Discussion】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Discussion: The three dimensions established in Article 134(1) correspond one-to-one with the provisions of the first three Volumes: (1)</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Clarifying value standards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corresponds to Articles 128 and 129 (establishing the measure of value, negating the legitimacy of extremes); (2)</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Improving system constraints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corresponds to Article 130 (increasing the cost of survival, limiting channels and opportunities); (3)</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Empowering individual choices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corresponds to Articles 131 and 132 (educational guidance and individual support). The spatial relationship of these three is one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compression,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one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compression,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one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expansion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the first two are both</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compression,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while the last 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expansion,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which precisely shows that this Article is not solely focused on strictness but also on breadth—any governance of civilization must simultaneously suppress evil and promote good; to suppress without promoting is to eliminate evil without establishing good; to promote without suppressing is to weaken good and allow evil to prevail. (2)</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Has the same effect as the original provisions of the Charter and shall be implemented simultaneously from the date of promulgation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clarifies that it differs from subordinate Annexes and is 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corrective provision with equal effectiveness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the original text also states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implemented from the present day (October 7, 2025),</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thus its effective date is ascertainable. (3)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right of interpretation belongs to the Charter-Maker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is consistent with Article 123 of the main Charter;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matters not covered herein shall be handled with reference to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uncovered matters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provisions of the Charter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is then attributed to Article 124 of the main Charter.</w:t>
      </w:r>
    </w:p>
    <w:p>
      <w:pPr>
        <w:pStyle w:val="BodyText"/>
        <w:spacing w:after="120" w:line="312" w:lineRule="auto"/>
      </w:pPr>
      <w:r>
        <w:rPr>
          <w:rFonts w:ascii="DejaVu Serif" w:hAnsi="DejaVu Serif" w:eastAsia="Noto Serif CJK SC"/>
          <w:b/>
          <w:bCs/>
          <w:color w:val="000000"/>
          <w:sz w:val="22"/>
        </w:rPr>
        <w:t xml:space="preserve">【Question】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This Volume states that it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does not amend the original provisions of the Charter,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yet its additions come after the original Article 127. Therefore, must the numbers of the original Articles also be sequentially adjusted?</w:t>
      </w:r>
      <w:r>
        <w:rPr>
          <w:rFonts w:ascii="DejaVu Serif" w:hAnsi="DejaVu Serif" w:eastAsia="Noto Serif CJK SC"/>
          <w:color w:val="000000"/>
          <w:sz w:val="22"/>
        </w:rPr>
        <w:t xml:space="preserve"> </w:t>
      </w:r>
      <w:r>
        <w:rPr>
          <w:rFonts w:ascii="DejaVu Serif" w:hAnsi="DejaVu Serif" w:eastAsia="Noto Serif CJK SC"/>
          <w:b/>
          <w:bCs/>
          <w:color w:val="000000"/>
          <w:sz w:val="22"/>
        </w:rPr>
        <w:t xml:space="preserve">【Answer】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seven Articles added in this Volume are all listed after the original Article 127 (Charter effective date), so the numbers of the subsequent Articles (the faith-related Articles) also shift accordingly. The method of this shift is similar to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sequential amendment of provisions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Amendment No. 4 (20240609), except that this Volume does not establish a specific Article to clarify this, therefore, any reference to original numbers shall be determined according to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latest Charter application principle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of Article 126 of the main Charter.</w:t>
      </w:r>
    </w:p>
    <w:p>
      <w:pPr>
        <w:pStyle w:val="BodyText"/>
        <w:spacing w:after="120" w:line="312" w:lineRule="auto"/>
      </w:pPr>
      <w:r>
        <w:rPr>
          <w:rFonts w:ascii="DejaVu Serif" w:hAnsi="DejaVu Serif" w:eastAsia="Noto Serif CJK SC"/>
          <w:b/>
          <w:bCs/>
          <w:color w:val="000000"/>
          <w:sz w:val="22"/>
        </w:rPr>
        <w:t xml:space="preserve">【Cross-ref】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Main Charter Articles 123, 124, 126, 127; Annex A.05.001</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Implementation Rules for the Third Correction Bill on Anti-extremism, Credit Evaluation and Individual Faith Support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this Volume’s Articles 128 to 132.</w:t>
      </w:r>
    </w:p>
    <w:p>
      <w:pPr>
        <w:spacing w:after="120" w:line="312" w:lineRule="auto"/>
      </w:pPr>
      <w:r>
        <w:rPr>
          <w:rFonts w:ascii="DejaVu Serif" w:hAnsi="DejaVu Serif" w:eastAsia="Noto Serif CJK SC"/>
          <w:color w:val="000000"/>
          <w:sz w:val="22"/>
        </w:rPr>
        <w:pict>
          <v:rect style="width:0;height:1.5pt" o:hralign="center" o:hrstd="t" o:hr="t"/>
        </w:pict>
      </w:r>
    </w:p>
    <w:bookmarkEnd w:id="243"/>
    <w:bookmarkEnd w:id="244"/>
    <w:bookmarkStart w:id="248" w:name="X74ec88aed11d6c743161ab7a5f160d6a128d1e2"/>
    <w:p>
      <w:pPr>
        <w:pStyle w:val="Heading2"/>
        <w:spacing w:after="160" w:line="312" w:lineRule="auto"/>
        <w:jc w:val="left"/>
      </w:pPr>
      <w:r>
        <w:rPr>
          <w:rFonts w:ascii="DejaVu Serif" w:hAnsi="DejaVu Serif" w:eastAsia="Noto Serif CJK SC"/>
          <w:color w:val="000000"/>
          <w:sz w:val="30"/>
        </w:rPr>
        <w:t xml:space="preserve">Volume Eight Annex A.06.001</w:t>
      </w:r>
      <w:r>
        <w:rPr>
          <w:rFonts w:ascii="DejaVu Serif" w:hAnsi="DejaVu Serif" w:eastAsia="Noto Serif CJK SC"/>
          <w:color w:val="000000"/>
          <w:sz w:val="30"/>
        </w:rPr>
        <w:t xml:space="preserve"> </w:t>
      </w:r>
      <w:r>
        <w:rPr>
          <w:rFonts w:ascii="DejaVu Serif" w:hAnsi="DejaVu Serif" w:eastAsia="Noto Serif CJK SC"/>
          <w:color w:val="000000"/>
          <w:sz w:val="30"/>
        </w:rPr>
        <w:t xml:space="preserve">“</w:t>
      </w:r>
      <w:r>
        <w:rPr>
          <w:rFonts w:ascii="DejaVu Serif" w:hAnsi="DejaVu Serif" w:eastAsia="Noto Serif CJK SC"/>
          <w:color w:val="000000"/>
          <w:sz w:val="30"/>
        </w:rPr>
        <w:t xml:space="preserve">Text for the Rectification of</w:t>
      </w:r>
      <w:r>
        <w:rPr>
          <w:rFonts w:ascii="DejaVu Serif" w:hAnsi="DejaVu Serif" w:eastAsia="Noto Serif CJK SC"/>
          <w:color w:val="000000"/>
          <w:sz w:val="30"/>
        </w:rPr>
        <w:t xml:space="preserve"> </w:t>
      </w:r>
      <w:r>
        <w:rPr>
          <w:rFonts w:ascii="DejaVu Serif" w:hAnsi="DejaVu Serif" w:eastAsia="Noto Serif CJK SC"/>
          <w:color w:val="000000"/>
          <w:sz w:val="30"/>
        </w:rPr>
        <w:t xml:space="preserve">‘</w:t>
      </w:r>
      <w:r>
        <w:rPr>
          <w:rFonts w:ascii="DejaVu Serif" w:hAnsi="DejaVu Serif" w:eastAsia="Noto Serif CJK SC"/>
          <w:color w:val="000000"/>
          <w:sz w:val="30"/>
        </w:rPr>
        <w:t xml:space="preserve">Civilian Partnership-ization</w:t>
      </w:r>
      <w:r>
        <w:rPr>
          <w:rFonts w:ascii="DejaVu Serif" w:hAnsi="DejaVu Serif" w:eastAsia="Noto Serif CJK SC"/>
          <w:color w:val="000000"/>
          <w:sz w:val="30"/>
        </w:rPr>
        <w:t xml:space="preserve">’</w:t>
      </w:r>
      <w:r>
        <w:rPr>
          <w:rFonts w:ascii="DejaVu Serif" w:hAnsi="DejaVu Serif" w:eastAsia="Noto Serif CJK SC"/>
          <w:color w:val="000000"/>
          <w:sz w:val="30"/>
        </w:rPr>
        <w:t xml:space="preserve"> </w:t>
      </w:r>
      <w:r>
        <w:rPr>
          <w:rFonts w:ascii="DejaVu Serif" w:hAnsi="DejaVu Serif" w:eastAsia="Noto Serif CJK SC"/>
          <w:color w:val="000000"/>
          <w:sz w:val="30"/>
        </w:rPr>
        <w:t xml:space="preserve">of Certain Expressions in the Charter of Life Action</w:t>
      </w:r>
      <w:r>
        <w:rPr>
          <w:rFonts w:ascii="DejaVu Serif" w:hAnsi="DejaVu Serif" w:eastAsia="Noto Serif CJK SC"/>
          <w:color w:val="000000"/>
          <w:sz w:val="30"/>
        </w:rPr>
        <w:t xml:space="preserve">”</w:t>
      </w:r>
      <w:r>
        <w:rPr>
          <w:rFonts w:ascii="DejaVu Serif" w:hAnsi="DejaVu Serif" w:eastAsia="Noto Serif CJK SC"/>
          <w:color w:val="000000"/>
          <w:sz w:val="30"/>
        </w:rPr>
        <w:t xml:space="preserve"> </w:t>
      </w:r>
      <w:r>
        <w:rPr>
          <w:rFonts w:ascii="DejaVu Serif" w:hAnsi="DejaVu Serif" w:eastAsia="Noto Serif CJK SC"/>
          <w:color w:val="000000"/>
          <w:sz w:val="30"/>
        </w:rPr>
        <w:t xml:space="preserve">(Rectification Bill No. A.06.001) Sub-commentary</w:t>
      </w:r>
    </w:p>
    <w:p>
      <w:pPr>
        <w:pStyle w:val="FirstParagraph"/>
        <w:spacing w:after="120" w:line="312" w:lineRule="auto"/>
      </w:pPr>
      <w:r>
        <w:rPr>
          <w:rFonts w:ascii="DejaVu Serif" w:hAnsi="DejaVu Serif" w:eastAsia="Noto Serif CJK SC"/>
          <w:b/>
          <w:bCs/>
          <w:color w:val="000000"/>
          <w:sz w:val="22"/>
        </w:rPr>
        <w:t xml:space="preserve">Sub-commentary to this Chapter</w:t>
      </w:r>
      <w:r>
        <w:rPr>
          <w:rFonts w:ascii="DejaVu Serif" w:hAnsi="DejaVu Serif" w:eastAsia="Noto Serif CJK SC"/>
          <w:color w:val="000000"/>
          <w:sz w:val="22"/>
        </w:rPr>
        <w:t xml:space="preserve">: This Chapter provides the sub-commentary for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Civilian Partnership-ization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Rectification Bill. Its difference from the various Amendments lies in its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non-addition of new Article numbers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among the nine matters, this one alone is purely based 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amendment,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correcting all expressions in the original text that may imply personal attachment or one-way domination into civilian partnerships or cooperatives based on equality, voluntariness, and consensus. It consists of five provisions: First, the rectification purpose; Second, specific provision rectifications (including three comparisons); Third, rectification interpretation; Fourth, retained provisions; Fifth, final effectiveness. Since this Article aims to change expressions, its text must include historical quotations of the original text; all such instances are recorded verbatim by the sub-commentator to show the comparison, which is exempt from the comparison table stipulated in the compilation standards. All original text cited in this section is taken from the authentic text, with only its essentials excerpted.</w:t>
      </w:r>
    </w:p>
    <w:bookmarkStart w:id="245" w:name="X328d362488e9454f543248d29486d874f6f359c"/>
    <w:p>
      <w:pPr>
        <w:pStyle w:val="Heading3"/>
        <w:spacing w:after="120" w:line="312" w:lineRule="auto"/>
        <w:jc w:val="left"/>
      </w:pPr>
      <w:r>
        <w:rPr>
          <w:rFonts w:ascii="DejaVu Serif" w:hAnsi="DejaVu Serif" w:eastAsia="Noto Serif CJK SC"/>
          <w:color w:val="000000"/>
          <w:sz w:val="26"/>
        </w:rPr>
        <w:t xml:space="preserve">Sub-commentary to Article 1 [Rectification Purpose]</w:t>
      </w:r>
    </w:p>
    <w:p>
      <w:pPr>
        <w:pStyle w:val="FirstParagraph"/>
        <w:spacing w:after="120" w:line="312" w:lineRule="auto"/>
      </w:pPr>
      <w:r>
        <w:rPr>
          <w:rFonts w:ascii="DejaVu Serif" w:hAnsi="DejaVu Serif" w:eastAsia="Noto Serif CJK SC"/>
          <w:b/>
          <w:bCs/>
          <w:color w:val="000000"/>
          <w:sz w:val="22"/>
        </w:rPr>
        <w:t xml:space="preserve">【Statute】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1 Purpose of Rectification: To thoroughly implement the core spirit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opposing personal subordination and advocating equal collaboration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upheld by this Charter, and to explicitly rectify all expressions that may potentially imply personal attachment or one-way dominance relationships, in both conceptual and practical directions, into civil cooperation or partnership relationships based on equality, voluntariness, and consensus, the following Articles are hereby rectified.</w:t>
      </w:r>
    </w:p>
    <w:p>
      <w:pPr>
        <w:pStyle w:val="BodyText"/>
        <w:spacing w:after="120" w:line="312" w:lineRule="auto"/>
      </w:pPr>
      <w:r>
        <w:rPr>
          <w:rFonts w:ascii="DejaVu Serif" w:hAnsi="DejaVu Serif" w:eastAsia="Noto Serif CJK SC"/>
          <w:b/>
          <w:bCs/>
          <w:color w:val="000000"/>
          <w:sz w:val="22"/>
        </w:rPr>
        <w:t xml:space="preserve">【Commentary】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Sub-commentary: This Article is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Purpose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of this Rectification Bill. It establishes three principles: First,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thorough implementation,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clarifying that it is a consistent spirit throughout the entire system, not a temporary measure; Second,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opposing personal subordination and advocating equal collaboration,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the expression of its core spirit; Third,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equality, voluntariness, and consensus,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the three elements to which it adheres. Since the highest principle of self-established norms is the absolute freedom and development of sovereign individuals, the proper form of relationships between people must be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cooperator—cooperator,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rather than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dominator—subordinate.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Therefore, what this Rectification Bill does is not to change its purpose, but to correct the nature of social relationships upon which its path depends. This principle aligns with the value ranking in Article 4 of the main Charter regarding the relationship between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human will/interests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emotions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all relationships must be based on the equal exchange of will and interests, not on subordination of status.</w:t>
      </w:r>
    </w:p>
    <w:p>
      <w:pPr>
        <w:pStyle w:val="BodyText"/>
        <w:spacing w:after="120" w:line="312" w:lineRule="auto"/>
      </w:pPr>
      <w:r>
        <w:rPr>
          <w:rFonts w:ascii="DejaVu Serif" w:hAnsi="DejaVu Serif" w:eastAsia="Noto Serif CJK SC"/>
          <w:b/>
          <w:bCs/>
          <w:color w:val="000000"/>
          <w:sz w:val="22"/>
        </w:rPr>
        <w:t xml:space="preserve">【Discussion】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Discussion: The four words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may potentially imply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require special attention. The objects of rectification are not necessarily overt expressions of dominance, but mostly those that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may potentially imply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—this is what the six words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in both conceptual and practical directions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refer to: if the practical direction of any expression has the tendency to lead to personal subordination, then even if its literal meaning is not explicit, it is subject to rectification. Therefore, the standard of this Rectification Bill 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practical direction,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not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literal interpretation.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This is another layer of self-reflection beyond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anti-illegality principle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of self-established norms: it not only asks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is it illegal?</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but also asks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does it imply personal subordination?</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b/>
          <w:bCs/>
          <w:color w:val="000000"/>
          <w:sz w:val="22"/>
        </w:rPr>
        <w:t xml:space="preserve">【Question】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Are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civil cooperation or partnership relationships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this Article the same as general civil legal relationships outside the main Charter system?</w:t>
      </w:r>
      <w:r>
        <w:rPr>
          <w:rFonts w:ascii="DejaVu Serif" w:hAnsi="DejaVu Serif" w:eastAsia="Noto Serif CJK SC"/>
          <w:color w:val="000000"/>
          <w:sz w:val="22"/>
        </w:rPr>
        <w:t xml:space="preserve"> </w:t>
      </w:r>
      <w:r>
        <w:rPr>
          <w:rFonts w:ascii="DejaVu Serif" w:hAnsi="DejaVu Serif" w:eastAsia="Noto Serif CJK SC"/>
          <w:b/>
          <w:bCs/>
          <w:color w:val="000000"/>
          <w:sz w:val="22"/>
        </w:rPr>
        <w:t xml:space="preserve">【Answer】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legal relationship form is civil cooperation or partnership, but its content is still bound by the values of this Charter (such as equality, voluntariness, consensus, and the guarantee of self-determination rights). Therefore, any relationship that takes the form of civil and commercial cooperation but is essentially one-way dominance does not conform to the purpose of this Article; this is why the phrase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in both conceptual and practical directions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is necessary.</w:t>
      </w:r>
    </w:p>
    <w:p>
      <w:pPr>
        <w:pStyle w:val="BodyText"/>
        <w:spacing w:after="120" w:line="312" w:lineRule="auto"/>
      </w:pPr>
      <w:r>
        <w:rPr>
          <w:rFonts w:ascii="DejaVu Serif" w:hAnsi="DejaVu Serif" w:eastAsia="Noto Serif CJK SC"/>
          <w:b/>
          <w:bCs/>
          <w:color w:val="000000"/>
          <w:sz w:val="22"/>
        </w:rPr>
        <w:t xml:space="preserve">【Cross-ref】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Main Charter Articles 1, 4, 8-2, 144; Annex A.06.001 This Rectification Bill Articles 2, 3, 4.</w:t>
      </w:r>
    </w:p>
    <w:bookmarkEnd w:id="245"/>
    <w:bookmarkStart w:id="246" w:name="sub-commentary-to-article-2"/>
    <w:p>
      <w:pPr>
        <w:pStyle w:val="Heading3"/>
        <w:spacing w:after="120" w:line="312" w:lineRule="auto"/>
        <w:jc w:val="left"/>
      </w:pPr>
      <w:r>
        <w:rPr>
          <w:rFonts w:ascii="DejaVu Serif" w:hAnsi="DejaVu Serif" w:eastAsia="Noto Serif CJK SC"/>
          <w:color w:val="000000"/>
          <w:sz w:val="26"/>
        </w:rPr>
        <w:t xml:space="preserve">Sub-commentary to Article 2</w:t>
      </w:r>
    </w:p>
    <w:p>
      <w:pPr>
        <w:pStyle w:val="FirstParagraph"/>
        <w:spacing w:after="120" w:line="312" w:lineRule="auto"/>
      </w:pPr>
      <w:r>
        <w:rPr>
          <w:rFonts w:ascii="DejaVu Serif" w:hAnsi="DejaVu Serif" w:eastAsia="Noto Serif CJK SC"/>
          <w:b/>
          <w:bCs/>
          <w:color w:val="000000"/>
          <w:sz w:val="22"/>
        </w:rPr>
        <w:t xml:space="preserve">【Statute】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2 Specific Article Rectification: The following rectifications are presented in a comparative format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Original Article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Rectified Article.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rectified articles shall completely replace the corresponding parts of the original articles in effect from the date of entry into force of this Amendment.</w:t>
      </w:r>
    </w:p>
    <w:p>
      <w:pPr>
        <w:pStyle w:val="BodyText"/>
        <w:spacing w:after="120" w:line="312" w:lineRule="auto"/>
      </w:pPr>
      <w:r>
        <w:rPr>
          <w:rFonts w:ascii="DejaVu Serif" w:hAnsi="DejaVu Serif" w:eastAsia="Noto Serif CJK SC"/>
          <w:b/>
          <w:bCs/>
          <w:color w:val="000000"/>
          <w:sz w:val="22"/>
        </w:rPr>
        <w:t xml:space="preserve">(1) Rectification of expressions in Articles 62 to 66 [Life Stages and Action Modes]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Original Article:</w:t>
      </w:r>
      <w:r>
        <w:rPr>
          <w:rFonts w:ascii="DejaVu Serif" w:hAnsi="DejaVu Serif" w:eastAsia="Noto Serif CJK SC"/>
          <w:color w:val="000000"/>
          <w:sz w:val="22"/>
        </w:rPr>
        <w:t xml:space="preserve"> </w:t>
      </w:r>
      <w:r>
        <w:rPr>
          <w:rFonts w:ascii="DejaVu Serif" w:hAnsi="DejaVu Serif" w:eastAsia="Noto Serif CJK SC"/>
          <w:b/>
          <w:bCs/>
          <w:color w:val="000000"/>
          <w:sz w:val="22"/>
        </w:rPr>
        <w:t xml:space="preserve">“</w:t>
      </w:r>
      <w:r>
        <w:rPr>
          <w:rFonts w:ascii="DejaVu Serif" w:hAnsi="DejaVu Serif" w:eastAsia="Noto Serif CJK SC"/>
          <w:b/>
          <w:bCs/>
          <w:color w:val="000000"/>
          <w:sz w:val="22"/>
        </w:rPr>
        <w:t xml:space="preserve">Working for others → Working for yourself (selling time) → Selling time in bulk (creating courses) → Hiring people to work → Corporate automation → Making money with money → Establishing funds/trusts → Writing books and publishing.</w:t>
      </w:r>
      <w:r>
        <w:rPr>
          <w:rFonts w:ascii="DejaVu Serif" w:hAnsi="DejaVu Serif" w:eastAsia="Noto Serif CJK SC"/>
          <w:b/>
          <w:bCs/>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Rectified Article:</w:t>
      </w:r>
      <w:r>
        <w:rPr>
          <w:rFonts w:ascii="DejaVu Serif" w:hAnsi="DejaVu Serif" w:eastAsia="Noto Serif CJK SC"/>
          <w:color w:val="000000"/>
          <w:sz w:val="22"/>
        </w:rPr>
        <w:t xml:space="preserve"> </w:t>
      </w:r>
      <w:r>
        <w:rPr>
          <w:rFonts w:ascii="DejaVu Serif" w:hAnsi="DejaVu Serif" w:eastAsia="Noto Serif CJK SC"/>
          <w:b/>
          <w:bCs/>
          <w:color w:val="000000"/>
          <w:sz w:val="22"/>
        </w:rPr>
        <w:t xml:space="preserve">“</w:t>
      </w:r>
      <w:r>
        <w:rPr>
          <w:rFonts w:ascii="DejaVu Serif" w:hAnsi="DejaVu Serif" w:eastAsia="Noto Serif CJK SC"/>
          <w:b/>
          <w:bCs/>
          <w:color w:val="000000"/>
          <w:sz w:val="22"/>
        </w:rPr>
        <w:t xml:space="preserve">Providing specialized labor services to others → Working for yourself (selling professional services) → Productizing and standardizing services → Integrating resources and expertise through establishing civil cooperation or partnership relationships → Building automated operational systems → Engaging in capital operations → Establishing fund or trust structures → Engaging in ideological and knowledge output.</w:t>
      </w:r>
      <w:r>
        <w:rPr>
          <w:rFonts w:ascii="DejaVu Serif" w:hAnsi="DejaVu Serif" w:eastAsia="Noto Serif CJK SC"/>
          <w:b/>
          <w:bCs/>
          <w:color w:val="000000"/>
          <w:sz w:val="22"/>
        </w:rPr>
        <w:t xml:space="preserve">”</w:t>
      </w:r>
    </w:p>
    <w:p>
      <w:pPr>
        <w:pStyle w:val="BodyText"/>
        <w:spacing w:after="120" w:line="312" w:lineRule="auto"/>
      </w:pPr>
      <w:r>
        <w:rPr>
          <w:rFonts w:ascii="DejaVu Serif" w:hAnsi="DejaVu Serif" w:eastAsia="Noto Serif CJK SC"/>
          <w:b/>
          <w:bCs/>
          <w:color w:val="000000"/>
          <w:sz w:val="22"/>
        </w:rPr>
        <w:t xml:space="preserve">(2) Rectification of Article 63 [Financial Ark Construction Macro-Period Stage Division]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Original Article:</w:t>
      </w:r>
      <w:r>
        <w:rPr>
          <w:rFonts w:ascii="DejaVu Serif" w:hAnsi="DejaVu Serif" w:eastAsia="Noto Serif CJK SC"/>
          <w:color w:val="000000"/>
          <w:sz w:val="22"/>
        </w:rPr>
        <w:t xml:space="preserve"> </w:t>
      </w:r>
      <w:r>
        <w:rPr>
          <w:rFonts w:ascii="DejaVu Serif" w:hAnsi="DejaVu Serif" w:eastAsia="Noto Serif CJK SC"/>
          <w:b/>
          <w:bCs/>
          <w:color w:val="000000"/>
          <w:sz w:val="22"/>
        </w:rPr>
        <w:t xml:space="preserve">“</w:t>
      </w:r>
      <w:r>
        <w:rPr>
          <w:rFonts w:ascii="DejaVu Serif" w:hAnsi="DejaVu Serif" w:eastAsia="Noto Serif CJK SC"/>
          <w:b/>
          <w:bCs/>
          <w:color w:val="000000"/>
          <w:sz w:val="22"/>
        </w:rPr>
        <w:t xml:space="preserve">Team Era (Era of employing others to work for oneself)</w:t>
      </w:r>
      <w:r>
        <w:rPr>
          <w:rFonts w:ascii="DejaVu Serif" w:hAnsi="DejaVu Serif" w:eastAsia="Noto Serif CJK SC"/>
          <w:b/>
          <w:bCs/>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Rectified Article:</w:t>
      </w:r>
      <w:r>
        <w:rPr>
          <w:rFonts w:ascii="DejaVu Serif" w:hAnsi="DejaVu Serif" w:eastAsia="Noto Serif CJK SC"/>
          <w:color w:val="000000"/>
          <w:sz w:val="22"/>
        </w:rPr>
        <w:t xml:space="preserve"> </w:t>
      </w:r>
      <w:r>
        <w:rPr>
          <w:rFonts w:ascii="DejaVu Serif" w:hAnsi="DejaVu Serif" w:eastAsia="Noto Serif CJK SC"/>
          <w:b/>
          <w:bCs/>
          <w:color w:val="000000"/>
          <w:sz w:val="22"/>
        </w:rPr>
        <w:t xml:space="preserve">“</w:t>
      </w:r>
      <w:r>
        <w:rPr>
          <w:rFonts w:ascii="DejaVu Serif" w:hAnsi="DejaVu Serif" w:eastAsia="Noto Serif CJK SC"/>
          <w:b/>
          <w:bCs/>
          <w:color w:val="000000"/>
          <w:sz w:val="22"/>
        </w:rPr>
        <w:t xml:space="preserve">Team (Partnership/Cooperation-based) Collaboration Era (Era of resource integration through civil cooperation and partnership relationships)</w:t>
      </w:r>
      <w:r>
        <w:rPr>
          <w:rFonts w:ascii="DejaVu Serif" w:hAnsi="DejaVu Serif" w:eastAsia="Noto Serif CJK SC"/>
          <w:b/>
          <w:bCs/>
          <w:color w:val="000000"/>
          <w:sz w:val="22"/>
        </w:rPr>
        <w:t xml:space="preserve">”</w:t>
      </w:r>
    </w:p>
    <w:p>
      <w:pPr>
        <w:pStyle w:val="BodyText"/>
        <w:spacing w:after="120" w:line="312" w:lineRule="auto"/>
      </w:pPr>
      <w:r>
        <w:rPr>
          <w:rFonts w:ascii="DejaVu Serif" w:hAnsi="DejaVu Serif" w:eastAsia="Noto Serif CJK SC"/>
          <w:b/>
          <w:bCs/>
          <w:color w:val="000000"/>
          <w:sz w:val="22"/>
        </w:rPr>
        <w:t xml:space="preserve">(3) Rectification of Note 5 to Article 29 (Explanation of means for constructing asset systems)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Original Article (partial):</w:t>
      </w:r>
      <w:r>
        <w:rPr>
          <w:rFonts w:ascii="DejaVu Serif" w:hAnsi="DejaVu Serif" w:eastAsia="Noto Serif CJK SC"/>
          <w:color w:val="000000"/>
          <w:sz w:val="22"/>
        </w:rPr>
        <w:t xml:space="preserve"> </w:t>
      </w:r>
      <w:r>
        <w:rPr>
          <w:rFonts w:ascii="DejaVu Serif" w:hAnsi="DejaVu Serif" w:eastAsia="Noto Serif CJK SC"/>
          <w:b/>
          <w:bCs/>
          <w:color w:val="000000"/>
          <w:sz w:val="22"/>
        </w:rPr>
        <w:t xml:space="preserve">“</w:t>
      </w:r>
      <w:r>
        <w:rPr>
          <w:rFonts w:ascii="DejaVu Serif" w:hAnsi="DejaVu Serif" w:eastAsia="Noto Serif CJK SC"/>
          <w:b/>
          <w:bCs/>
          <w:color w:val="000000"/>
          <w:sz w:val="22"/>
        </w:rPr>
        <w:t xml:space="preserve">…to build for oneself an asset system target with a monthly monetary inflow of no less than…, through employing others, so that one never has to engage in any work or activities not out of one’s subjective will for any consumption-related expenditures in one’s life.</w:t>
      </w:r>
      <w:r>
        <w:rPr>
          <w:rFonts w:ascii="DejaVu Serif" w:hAnsi="DejaVu Serif" w:eastAsia="Noto Serif CJK SC"/>
          <w:b/>
          <w:bCs/>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Rectified Article:</w:t>
      </w:r>
      <w:r>
        <w:rPr>
          <w:rFonts w:ascii="DejaVu Serif" w:hAnsi="DejaVu Serif" w:eastAsia="Noto Serif CJK SC"/>
          <w:color w:val="000000"/>
          <w:sz w:val="22"/>
        </w:rPr>
        <w:t xml:space="preserve"> </w:t>
      </w:r>
      <w:r>
        <w:rPr>
          <w:rFonts w:ascii="DejaVu Serif" w:hAnsi="DejaVu Serif" w:eastAsia="Noto Serif CJK SC"/>
          <w:b/>
          <w:bCs/>
          <w:color w:val="000000"/>
          <w:sz w:val="22"/>
        </w:rPr>
        <w:t xml:space="preserve">“</w:t>
      </w:r>
      <w:r>
        <w:rPr>
          <w:rFonts w:ascii="DejaVu Serif" w:hAnsi="DejaVu Serif" w:eastAsia="Noto Serif CJK SC"/>
          <w:b/>
          <w:bCs/>
          <w:color w:val="000000"/>
          <w:sz w:val="22"/>
        </w:rPr>
        <w:t xml:space="preserve">…to build for oneself an asset system target with a monthly monetary inflow of no less than…, by establishing civil cooperation or partnership relationships, and rationally utilizing the expertise and time resources of cooperators, so that one never has to engage in any work or activities not out of one’s subjective will for any consumption-related expenditures in one’s life.</w:t>
      </w:r>
      <w:r>
        <w:rPr>
          <w:rFonts w:ascii="DejaVu Serif" w:hAnsi="DejaVu Serif" w:eastAsia="Noto Serif CJK SC"/>
          <w:b/>
          <w:bCs/>
          <w:color w:val="000000"/>
          <w:sz w:val="22"/>
        </w:rPr>
        <w:t xml:space="preserve">”</w:t>
      </w:r>
    </w:p>
    <w:p>
      <w:pPr>
        <w:pStyle w:val="BodyText"/>
        <w:spacing w:after="120" w:line="312" w:lineRule="auto"/>
      </w:pPr>
      <w:r>
        <w:rPr>
          <w:rFonts w:ascii="DejaVu Serif" w:hAnsi="DejaVu Serif" w:eastAsia="Noto Serif CJK SC"/>
          <w:color w:val="000000"/>
          <w:sz w:val="22"/>
        </w:rPr>
        <w:t xml:space="preserve">(Note: The historical expressions in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Original Article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above are reproduced verbatim for comparison purposes and are exempt from the comparison table; all judgments in the following section shall be based solely on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Rectified Article.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b/>
          <w:bCs/>
          <w:color w:val="000000"/>
          <w:sz w:val="22"/>
        </w:rPr>
        <w:t xml:space="preserve">【Commentary】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Sub-commentary: This Article is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substantive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of the Rectification Bill, with three points of comparison. Its method of correction can be categorized as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three-stage isomorphism</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(1) Correction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life stages and action modes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chain, consisting of eight sections, each progressing from</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physical person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to</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status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to</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collaboration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(2) Correction of the name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macro era,</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from</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team-based</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to</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team (partnership/cooperative) collaboration-based</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(3) Correction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asset system means,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from</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using another’s physical person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to</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using another’s expertise and time.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Although these three points differ, their principle is the same: any means that relies 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controlling another’s physical person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is easily transformed into</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utilizing the partner’s expertise and time resources.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Therefore, the central words of this change are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labor collaboration,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cooperation or partnership,</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expertise and time.</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b/>
          <w:bCs/>
          <w:color w:val="000000"/>
          <w:sz w:val="22"/>
        </w:rPr>
        <w:t xml:space="preserve">【Discussion】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Discussion: Regarding (1), the first section of its chain,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providing specialized labor collaboration for others,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compared to the original</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working for others,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differs in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specialized</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(limiting the scope) 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collaboration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(changing the nature). Thus, once the same act is defined as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collaboration,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relationship becomes one of equal cooperation, not subordinate service. The fourth and fifth sections, from</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hiring people to work</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company automation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to</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integrating resources and expertise through establishing civil cooperative or partnership relationships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building automated operational systems,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mean that the path to integrating resources and expertise lies in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relationships,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while the path to automation lies in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systems,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neither of which depends 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subordination of physical persons.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final section, from</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writing books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to</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conducting ideological and knowledge output,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expands from</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establishing one’s own school of thought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to</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output,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which aligns with Article 8 of the main Charter 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writing works, audio-video recording, language translation, and publication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Article 2’s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multilingual writers.</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Regarding (2), the defining phrase for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team (partnership/cooperative) collaboration era</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an era of resource integration through civil cooperation and partnership relationships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therefore, the meaning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team</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is defined by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relationship,</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not by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subordination.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Regarding (3), the phrases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reasonable use of the partner’s expertise and time resources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directly correspond to the second item of the corrective explanation in Article 3:</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This is the purpose, while… is the preset legal relationship form.</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purpose lies in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utilization,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the form lies in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cooperation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therefore, one must not practice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control</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reality under the name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utilization.</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b/>
          <w:bCs/>
          <w:color w:val="000000"/>
          <w:sz w:val="22"/>
        </w:rPr>
        <w:t xml:space="preserve">【Question】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Does the final section of the chain listed in item (1) of this Article,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conducting capital operations,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have an expanded meaning compared to the original</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using money to make money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b/>
          <w:bCs/>
          <w:color w:val="000000"/>
          <w:sz w:val="22"/>
        </w:rPr>
        <w:t xml:space="preserve">【Answer】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Yes.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Using money to make money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is a popular expression, while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conducting capital operations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is a standardized expression whose scope sufficiently covers the methods of equity, private equity, securities, and capital operations stipulated in Article 8-2 of the main Charter. Therefore, this change not only removes the connotation of dependency but also enhances the standardization of its expression.</w:t>
      </w:r>
    </w:p>
    <w:p>
      <w:pPr>
        <w:pStyle w:val="BodyText"/>
        <w:spacing w:after="120" w:line="312" w:lineRule="auto"/>
      </w:pPr>
      <w:r>
        <w:rPr>
          <w:rFonts w:ascii="DejaVu Serif" w:hAnsi="DejaVu Serif" w:eastAsia="Noto Serif CJK SC"/>
          <w:b/>
          <w:bCs/>
          <w:color w:val="000000"/>
          <w:sz w:val="22"/>
        </w:rPr>
        <w:t xml:space="preserve">【Cross-ref】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Main Charter Articles 2, 4, 8, 8-2, 29, 62-66; this Rectification Bill Articles 1, 3, 4; Annex A.06.001 in full.</w:t>
      </w:r>
    </w:p>
    <w:bookmarkEnd w:id="246"/>
    <w:bookmarkStart w:id="247" w:name="Xb032856d4ea72734431badba3b3fe54137f9cf2"/>
    <w:p>
      <w:pPr>
        <w:pStyle w:val="Heading3"/>
        <w:spacing w:after="120" w:line="312" w:lineRule="auto"/>
        <w:jc w:val="left"/>
      </w:pPr>
      <w:r>
        <w:rPr>
          <w:rFonts w:ascii="DejaVu Serif" w:hAnsi="DejaVu Serif" w:eastAsia="Noto Serif CJK SC"/>
          <w:color w:val="000000"/>
          <w:sz w:val="26"/>
        </w:rPr>
        <w:t xml:space="preserve">Sub-commentary on Article 3 【Corrective Explanation】, Article 4 【Retention Clause】, Article 5 【Final Effectiveness】</w:t>
      </w:r>
    </w:p>
    <w:p>
      <w:pPr>
        <w:pStyle w:val="FirstParagraph"/>
        <w:spacing w:after="120" w:line="312" w:lineRule="auto"/>
      </w:pPr>
      <w:r>
        <w:rPr>
          <w:rFonts w:ascii="DejaVu Serif" w:hAnsi="DejaVu Serif" w:eastAsia="Noto Serif CJK SC"/>
          <w:b/>
          <w:bCs/>
          <w:color w:val="000000"/>
          <w:sz w:val="22"/>
        </w:rPr>
        <w:t xml:space="preserve">【Statute】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3 Corrective Explanation: (1) This correction aims to explicitly transform the original expression, which could be interpreted as a one-way employer-employee relationship of control, into an equal civil legal relationship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partner-partner.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(2)</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Reasonable use of others’ time and expertise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is the purpose, while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civil cooperative or partnership relationship</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is the preset legal relationship form to achieve this purpose. (3) This correction does not change the fundamental goal expressed in the original clause of achieving personal financial and action freedom; it only provides conceptual clarification and upgrading to the nature of the social relationships relied upon by the implementation path.</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4 Retention Clause: This Rectification Bill does not affect the effectiveness of Article 58 【Nature of Labor Income】 and other articles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Charter of Life Action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conducting social analysis and critique of the existing employment system. Such analysis, as background cognition and warning, forms a contrast with the practical path advocated by this correction, and its value should be preserved.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5 Final Effectiveness: This Rectification Bill becomes effective upon being signed by the Charter-Maker, becomes an integral part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Charter of Life Action,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its effectiveness is equivalent to that of the original text of the Charter.</w:t>
      </w:r>
    </w:p>
    <w:p>
      <w:pPr>
        <w:pStyle w:val="BodyText"/>
        <w:spacing w:after="120" w:line="312" w:lineRule="auto"/>
      </w:pPr>
      <w:r>
        <w:rPr>
          <w:rFonts w:ascii="DejaVu Serif" w:hAnsi="DejaVu Serif" w:eastAsia="Noto Serif CJK SC"/>
          <w:b/>
          <w:bCs/>
          <w:color w:val="000000"/>
          <w:sz w:val="22"/>
        </w:rPr>
        <w:t xml:space="preserve">【Commentary】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Sub-commentary: These three articles are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boundary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articles of the Rectification Bill, each serving a distinct purpose. Article 3 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self-explanatory,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to prevent the correction from being misunderstood as a change in fundamental goals; Article 4 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retention,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to prevent the correction from being misunderstood as negating existing critical analysis; Article 5 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effectiveness,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to determine its hierarchical position. The common purpose of all three is encapsulated in the phrase: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correction rectifies the path, not the purpose.</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b/>
          <w:bCs/>
          <w:color w:val="000000"/>
          <w:sz w:val="22"/>
        </w:rPr>
        <w:t xml:space="preserve">【Discussion】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Discussion: The three clauses of Article 3 have 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purpose-form-unchanged</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structure: (1) It clarifies the direction of transformation (from one-way control to equal civil legal relationship); (2) It clarifies the substance-form relationship between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utilization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cooperation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distinction between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this is the purpose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this is the form</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must be carefully remembered, as any argument that justifies the means by the benefits of the results falls under what this clause refutes; (3) It clarifies that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fundamental goal does not change,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therefore the aim of financial and action freedom remains constant; what changes is only the nature of the relationships relied upon by the path. This is what is meant by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conceptual clarification and upgrading.</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Article 4’s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Reservation Clause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holds particular significance: since this Rectification Bill takes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civilian partnershipization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its path of practice, does this mean that the critical analysis of existing systems is thereby abolished? This Article answers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No.</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reason lies in the word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contrast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critical analysis serves as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background cognition and warning,</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while the path of practice 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positive advocacy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the one is 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mirror,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other 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with a mirror, action is warned, with action, the mirror finds its place. Therefore, this Article specifically uses the phrase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its value should be retained</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to establish its existence.</w:t>
      </w:r>
    </w:p>
    <w:p>
      <w:pPr>
        <w:pStyle w:val="BodyText"/>
        <w:spacing w:after="120" w:line="312" w:lineRule="auto"/>
      </w:pPr>
      <w:r>
        <w:rPr>
          <w:rFonts w:ascii="DejaVu Serif" w:hAnsi="DejaVu Serif" w:eastAsia="Noto Serif CJK SC"/>
          <w:color w:val="000000"/>
          <w:sz w:val="22"/>
        </w:rPr>
        <w:t xml:space="preserve">Article 5’s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Effectiveness Equivalent to the Charter Text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is the common effectiveness clause for all rectifications, amendments, and correction bills: wherever rectified, its effectiveness is equivalent to the original text; wherever not rectified, its effectiveness remains unchanged. However, attention must be paid to the special nature of this Rectification Bill: it does not add new article numbers, therefore, anyone citing a rectified article continues to use the original article number, but the article’s text is to be understood according to the rectified expression. This is the special form of rectification that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does not add numbers but actually changes the text,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which coexists with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addition of articles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Volumes I and II,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addition of articles and subsequent renumbering</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Volume IV, and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addition of articles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Volumes VI and VII, together forming four legislative techniques of the amendment system.</w:t>
      </w:r>
    </w:p>
    <w:p>
      <w:pPr>
        <w:pStyle w:val="BodyText"/>
        <w:spacing w:after="120" w:line="312" w:lineRule="auto"/>
      </w:pPr>
      <w:r>
        <w:rPr>
          <w:rFonts w:ascii="DejaVu Serif" w:hAnsi="DejaVu Serif" w:eastAsia="Noto Serif CJK SC"/>
          <w:b/>
          <w:bCs/>
          <w:color w:val="000000"/>
          <w:sz w:val="22"/>
        </w:rPr>
        <w:t xml:space="preserve">【Question】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Since this Rectification Bill states that its effectiveness 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equivalent to the Charter Text,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the front part of the entire volume contains transcribed historical expressions, which should the reader take as authoritative?</w:t>
      </w:r>
      <w:r>
        <w:rPr>
          <w:rFonts w:ascii="DejaVu Serif" w:hAnsi="DejaVu Serif" w:eastAsia="Noto Serif CJK SC"/>
          <w:color w:val="000000"/>
          <w:sz w:val="22"/>
        </w:rPr>
        <w:t xml:space="preserve"> </w:t>
      </w:r>
      <w:r>
        <w:rPr>
          <w:rFonts w:ascii="DejaVu Serif" w:hAnsi="DejaVu Serif" w:eastAsia="Noto Serif CJK SC"/>
          <w:b/>
          <w:bCs/>
          <w:color w:val="000000"/>
          <w:sz w:val="22"/>
        </w:rPr>
        <w:t xml:space="preserve">【Answer】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rectified clauses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shall be taken as authoritative. Article 2 of this Rectification Bill explicitly states that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rectified clauses shall, from the date of entry into force of this Amendment, completely replace the effectiveness of the corresponding parts of the original clauses,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therefore the historical expressions exist only for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contrast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purposes; however, the critical analysis retained by Article 4, its article effectiveness remains unchanged and is not included in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replacement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category.</w:t>
      </w:r>
    </w:p>
    <w:p>
      <w:pPr>
        <w:pStyle w:val="BodyText"/>
        <w:spacing w:after="120" w:line="312" w:lineRule="auto"/>
      </w:pPr>
      <w:r>
        <w:rPr>
          <w:rFonts w:ascii="DejaVu Serif" w:hAnsi="DejaVu Serif" w:eastAsia="Noto Serif CJK SC"/>
          <w:b/>
          <w:bCs/>
          <w:color w:val="000000"/>
          <w:sz w:val="22"/>
        </w:rPr>
        <w:t xml:space="preserve">【Cross-ref】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8, Article 58, and Articles 62 to 66 of the main Charter; Article 1, Article 2, and Article 3 of this Rectification Bill; the entirety of Annex A.06.001.</w:t>
      </w:r>
    </w:p>
    <w:p>
      <w:pPr>
        <w:spacing w:after="120" w:line="312" w:lineRule="auto"/>
      </w:pPr>
      <w:r>
        <w:rPr>
          <w:rFonts w:ascii="DejaVu Serif" w:hAnsi="DejaVu Serif" w:eastAsia="Noto Serif CJK SC"/>
          <w:color w:val="000000"/>
          <w:sz w:val="22"/>
        </w:rPr>
        <w:pict>
          <v:rect style="width:0;height:1.5pt" o:hralign="center" o:hrstd="t" o:hr="t"/>
        </w:pict>
      </w:r>
    </w:p>
    <w:bookmarkEnd w:id="247"/>
    <w:bookmarkEnd w:id="248"/>
    <w:bookmarkStart w:id="250" w:name="Xb6c8ddb26b562c8b7aa6d8f8aff6a76b2a4133e"/>
    <w:p>
      <w:pPr>
        <w:pStyle w:val="Heading2"/>
        <w:spacing w:after="160" w:line="312" w:lineRule="auto"/>
        <w:jc w:val="left"/>
      </w:pPr>
      <w:r>
        <w:rPr>
          <w:rFonts w:ascii="DejaVu Serif" w:hAnsi="DejaVu Serif" w:eastAsia="Noto Serif CJK SC"/>
          <w:color w:val="000000"/>
          <w:sz w:val="30"/>
        </w:rPr>
        <w:t xml:space="preserve">Volume IX Article 144 of the</w:t>
      </w:r>
      <w:r>
        <w:rPr>
          <w:rFonts w:ascii="DejaVu Serif" w:hAnsi="DejaVu Serif" w:eastAsia="Noto Serif CJK SC"/>
          <w:color w:val="000000"/>
          <w:sz w:val="30"/>
        </w:rPr>
        <w:t xml:space="preserve"> </w:t>
      </w:r>
      <w:r>
        <w:rPr>
          <w:rFonts w:ascii="DejaVu Serif" w:hAnsi="DejaVu Serif" w:eastAsia="Noto Serif CJK SC"/>
          <w:color w:val="000000"/>
          <w:sz w:val="30"/>
        </w:rPr>
        <w:t xml:space="preserve">“</w:t>
      </w:r>
      <w:r>
        <w:rPr>
          <w:rFonts w:ascii="DejaVu Serif" w:hAnsi="DejaVu Serif" w:eastAsia="Noto Serif CJK SC"/>
          <w:color w:val="000000"/>
          <w:sz w:val="30"/>
        </w:rPr>
        <w:t xml:space="preserve">Charter of Life Action</w:t>
      </w:r>
      <w:r>
        <w:rPr>
          <w:rFonts w:ascii="DejaVu Serif" w:hAnsi="DejaVu Serif" w:eastAsia="Noto Serif CJK SC"/>
          <w:color w:val="000000"/>
          <w:sz w:val="30"/>
        </w:rPr>
        <w:t xml:space="preserve">”</w:t>
      </w:r>
      <w:r>
        <w:rPr>
          <w:rFonts w:ascii="DejaVu Serif" w:hAnsi="DejaVu Serif" w:eastAsia="Noto Serif CJK SC"/>
          <w:color w:val="000000"/>
          <w:sz w:val="30"/>
        </w:rPr>
        <w:t xml:space="preserve"> </w:t>
      </w:r>
      <w:r>
        <w:rPr>
          <w:rFonts w:ascii="DejaVu Serif" w:hAnsi="DejaVu Serif" w:eastAsia="Noto Serif CJK SC"/>
          <w:color w:val="000000"/>
          <w:sz w:val="30"/>
        </w:rPr>
        <w:t xml:space="preserve">【Dual Iron Law of Organizational Participation】(Newly added principle clause · August 22, 2026) Sub-commentary</w:t>
      </w:r>
    </w:p>
    <w:p>
      <w:pPr>
        <w:pStyle w:val="FirstParagraph"/>
        <w:spacing w:after="120" w:line="312" w:lineRule="auto"/>
      </w:pPr>
      <w:r>
        <w:rPr>
          <w:rFonts w:ascii="DejaVu Serif" w:hAnsi="DejaVu Serif" w:eastAsia="Noto Serif CJK SC"/>
          <w:b/>
          <w:bCs/>
          <w:color w:val="000000"/>
          <w:sz w:val="22"/>
        </w:rPr>
        <w:t xml:space="preserve">This Sub-commentary states</w:t>
      </w:r>
      <w:r>
        <w:rPr>
          <w:rFonts w:ascii="DejaVu Serif" w:hAnsi="DejaVu Serif" w:eastAsia="Noto Serif CJK SC"/>
          <w:color w:val="000000"/>
          <w:sz w:val="22"/>
        </w:rPr>
        <w:t xml:space="preserve">: The subject of this volume’s sub-commentary is the latest volume of the amendment system, and also one of the articles with the most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master gate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character in the system. Its text consists of four paragraphs, without adding complex chapters, but only establishing 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dual</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structure: my participation in any organization is limited to only two situations: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organizations I have established myself</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organizations I have voluntarily joined</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in all other cases, I do not participate. As one walks through life, organizations are everywhere; without this iron law, although Articles 94 【Non-War Participation Principle】, 95 【Non-Political Party Participation Principle】, and 96 【Principle of Not Holding Political Stances】 are established, one could still circumvent them through various pretexts such as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taking up employment,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affiliation,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part-time work,</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cooperation.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Therefore, the establishment of this article is in fact the master gate for all</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non-participation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principles: the previous articles each guard their own domain; with this article, all organizational participation must first pass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dual</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gate. This is why its position is particularly important.</w:t>
      </w:r>
    </w:p>
    <w:bookmarkStart w:id="249" w:name="X398bb5034d3c905a4a9d8eb0dcf23341851a4a1"/>
    <w:p>
      <w:pPr>
        <w:pStyle w:val="Heading3"/>
        <w:spacing w:after="120" w:line="312" w:lineRule="auto"/>
        <w:jc w:val="left"/>
      </w:pPr>
      <w:r>
        <w:rPr>
          <w:rFonts w:ascii="DejaVu Serif" w:hAnsi="DejaVu Serif" w:eastAsia="Noto Serif CJK SC"/>
          <w:color w:val="000000"/>
          <w:sz w:val="26"/>
        </w:rPr>
        <w:t xml:space="preserve">Sub-commentary on Article 144 【Dual Iron Law of Organizational Participation】</w:t>
      </w:r>
    </w:p>
    <w:p>
      <w:pPr>
        <w:pStyle w:val="FirstParagraph"/>
        <w:spacing w:after="120" w:line="312" w:lineRule="auto"/>
      </w:pPr>
      <w:r>
        <w:rPr>
          <w:rFonts w:ascii="DejaVu Serif" w:hAnsi="DejaVu Serif" w:eastAsia="Noto Serif CJK SC"/>
          <w:b/>
          <w:bCs/>
          <w:color w:val="000000"/>
          <w:sz w:val="22"/>
        </w:rPr>
        <w:t xml:space="preserve">【Statute】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144 【Dual Iron Law of Organizational Participation】: My participation in any organization is limited to one of the following two situations: (1) Organizations established by myself—this organization is personally created by me, and its members (personnel) are personally selected and determined by me; (2) Organizations I voluntarily join based on specific purposes—I fully recognize the organization’s purpose and core members, and I voluntarily join based on specific, clear purposes. Except for the two situations listed in the preceding two paragraphs, I do not participate in any organization; in particular, I do not accept participation in rigid institutional organizations including but not limited to state civil servants, regardless of what benefits, status, or treatment they may entail. For detailed circumstances, determination standards, exceptions, and implementation of this Article, see Annex A.08.001</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Implementation Rules for the Dual Iron Law of Organizational Participation.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Charter-Maker: Sun Yujun Effective Date: August 22, 2026.</w:t>
      </w:r>
    </w:p>
    <w:p>
      <w:pPr>
        <w:pStyle w:val="BodyText"/>
        <w:spacing w:after="120" w:line="312" w:lineRule="auto"/>
      </w:pPr>
      <w:r>
        <w:rPr>
          <w:rFonts w:ascii="DejaVu Serif" w:hAnsi="DejaVu Serif" w:eastAsia="Noto Serif CJK SC"/>
          <w:b/>
          <w:bCs/>
          <w:color w:val="000000"/>
          <w:sz w:val="22"/>
        </w:rPr>
        <w:t xml:space="preserve">【Commentary】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Sub-commentary states: The purpose of establishing this Article has three aspects. First,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protecting autonomy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the main Charter takes the absolute freedom and development of the sovereign individual as its philosophical foundation; any organizational participation may introduce external will, time sequence, and evaluation, therefore, anything not self-established or voluntarily joined is sufficient to shake one’s autonomy. Second,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maintaining consistency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the main Charter prohibits joining the military and war in Article 94, prohibits joining political parties in Article 95, and establishes the principle of not holding political stances in Article 96; these three are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non-participation in specific fields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this Article is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access rule for all organizational participation,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therefore it serves as the general principle for the preceding three articles. Third,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preventing circumvention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the establishment of any principle is most vulnerable to methods of evasion; using pretexts such as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taking up employment,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affiliation,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temporary transfer,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external appointment,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one can achieve the reality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actual subordination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under the name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not wishing to join.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This Article takes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participation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its object, rather than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joining</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its object, therefore any substantial participation, regardless of its name, falls within its jurisdiction. When these three aspects are combined, this Article is not a newly added clause, but in fact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organizational gate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for the entire system.</w:t>
      </w:r>
    </w:p>
    <w:p>
      <w:pPr>
        <w:pStyle w:val="BodyText"/>
        <w:spacing w:after="120" w:line="312" w:lineRule="auto"/>
      </w:pPr>
      <w:r>
        <w:rPr>
          <w:rFonts w:ascii="DejaVu Serif" w:hAnsi="DejaVu Serif" w:eastAsia="Noto Serif CJK SC"/>
          <w:b/>
          <w:bCs/>
          <w:color w:val="000000"/>
          <w:sz w:val="22"/>
        </w:rPr>
        <w:t xml:space="preserve">【Discussion】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【Discussion】 The structure of this Article 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binary + catch-all exclusion + authorization for detailed rules,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with clear layers. (1)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self-established organization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Paragraph (1) has two requirements: first,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established by the individual personally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and second,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its members (personnel) are personally selected and determined by the individual.</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Therefore, its identifying mark lies not in the organization’s name, but in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origin of its personnel</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—any organization whose personnel do not come from the individual does not qualify under Paragraph (1). Annex A.08.001 establishes the standard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considering entrusted selection reviewed, signed, and approved by the individual as personal selection,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which is an extension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personal</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any entrusted selection reviewed, signed, and approved by the individual is considered personal selection; this is a feasible accommodation, yet the individual’s review and approval remain its unchanging core. (2)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voluntarily joined organization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Paragraph (2) also has two requirements: first,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complete recognition of the organization’s purpose and core members,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where the word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complete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is crucial—any reservations disqualify it; and second,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based on specific, clear purposes,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where the words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specific, clear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are crucial—any vague purposes disqualify it. Only when both conditions are met is it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voluntary.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(3) Paragraph (3) is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catch-all exclusion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Except for the two cases listed in the preceding two paragraphs, the individual does not participate in any organization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is the first level of exclusion;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especially does not accept participation in rigid institutional organizations including but not limited to state civil servants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is the second level of enumerated exclusion; 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regardless of any incidental benefits, status, or treatment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is the third level of value-based exclusion. With three levels叠加, the path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luring with benefits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is also blocked—any use of status, treatment, or position as bait is precluded by this Article. (4) Paragraph (4) is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authorization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the detailed circumstances, standards, exceptions, and implementation of this Article are all entrusted to Annex A.08.001,</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Detailed Implementation Rules for the Binary Iron Law of Organizational Participation.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Statutes value simplicity, while detailed rules value comprehensiveness; this Article establishes its framework in simplicity, and Annex A.08.001 exhausts its provisions, which precisely reflects the system’s division where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main Charter is the fundamental principle, and annexes are detailed implementation rules for specific areas.</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b/>
          <w:bCs/>
          <w:color w:val="000000"/>
          <w:sz w:val="22"/>
        </w:rPr>
        <w:t xml:space="preserve">【Question】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If I, due to urgent need for livelihood, must join an organization that is neither self-established nor voluntarily joined, can this be considered compliant with this Article?</w:t>
      </w:r>
      <w:r>
        <w:rPr>
          <w:rFonts w:ascii="DejaVu Serif" w:hAnsi="DejaVu Serif" w:eastAsia="Noto Serif CJK SC"/>
          <w:color w:val="000000"/>
          <w:sz w:val="22"/>
        </w:rPr>
        <w:t xml:space="preserve"> </w:t>
      </w:r>
      <w:r>
        <w:rPr>
          <w:rFonts w:ascii="DejaVu Serif" w:hAnsi="DejaVu Serif" w:eastAsia="Noto Serif CJK SC"/>
          <w:b/>
          <w:bCs/>
          <w:color w:val="000000"/>
          <w:sz w:val="22"/>
        </w:rPr>
        <w:t xml:space="preserve">【Answer】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No. There is no third path beyond Paragraphs (1) and (2) of this Article, so</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urgent need for livelihood</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cannot serve as a basis for accommodation. When faced with the pressure of livelihood, one must follow the revenue-generating paths established in the main Charter’s Articles 8 and 8-2 (consulting, planning, intermediary, agency, leasing, finance, etc.) and their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minimum viable essentialist steps,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or examine whether it truly constitutes voluntary joining under Paragraph (2)’s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specific, clear purposes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—one cannot break the iron law based on the circumstances.</w:t>
      </w:r>
    </w:p>
    <w:p>
      <w:pPr>
        <w:pStyle w:val="BodyText"/>
        <w:spacing w:after="120" w:line="312" w:lineRule="auto"/>
      </w:pPr>
      <w:r>
        <w:rPr>
          <w:rFonts w:ascii="DejaVu Serif" w:hAnsi="DejaVu Serif" w:eastAsia="Noto Serif CJK SC"/>
          <w:b/>
          <w:bCs/>
          <w:color w:val="000000"/>
          <w:sz w:val="22"/>
        </w:rPr>
        <w:t xml:space="preserve">【Question】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What is the relationship between this Article and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necessary exception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Article 96-2?</w:t>
      </w:r>
      <w:r>
        <w:rPr>
          <w:rFonts w:ascii="DejaVu Serif" w:hAnsi="DejaVu Serif" w:eastAsia="Noto Serif CJK SC"/>
          <w:color w:val="000000"/>
          <w:sz w:val="22"/>
        </w:rPr>
        <w:t xml:space="preserve"> </w:t>
      </w:r>
      <w:r>
        <w:rPr>
          <w:rFonts w:ascii="DejaVu Serif" w:hAnsi="DejaVu Serif" w:eastAsia="Noto Serif CJK SC"/>
          <w:b/>
          <w:bCs/>
          <w:color w:val="000000"/>
          <w:sz w:val="22"/>
        </w:rPr>
        <w:t xml:space="preserve">【Answer】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two operate on different levels and cannot be invoked interchangeably. Article 96-2 addresses the exemption from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principle of not taking political positions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the context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critical, necessary work appointments and performance,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with its target being</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expression of political position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this Article governs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organizational participation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itself, with its target being</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whether to participate.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Therefore, even with the exception in Article 96-2, it cannot be used as a basis to participate in the organizations excluded by this Article; conversely, any participation that meets this Article’s binary criteria remains bound by the provisions of Articles 95, 96, and their exceptions regarding political position expression. Each must adhere to its own domain to avoid confusion.</w:t>
      </w:r>
    </w:p>
    <w:p>
      <w:pPr>
        <w:pStyle w:val="BodyText"/>
        <w:spacing w:after="120" w:line="312" w:lineRule="auto"/>
      </w:pPr>
      <w:r>
        <w:rPr>
          <w:rFonts w:ascii="DejaVu Serif" w:hAnsi="DejaVu Serif" w:eastAsia="Noto Serif CJK SC"/>
          <w:b/>
          <w:bCs/>
          <w:color w:val="000000"/>
          <w:sz w:val="22"/>
        </w:rPr>
        <w:t xml:space="preserve">【Cross-ref】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Main Charter Articles 8, 8-2, 94, 95, 96, 96-2, 96-3, 144; Annex A.08.001</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Detailed Implementation Rules for the Binary Iron Law of Organizational Participation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Annex D.01.001</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Implementation Regulations for the Principle of Non-War Participation.</w:t>
      </w:r>
      <w:r>
        <w:rPr>
          <w:rFonts w:ascii="DejaVu Serif" w:hAnsi="DejaVu Serif" w:eastAsia="Noto Serif CJK SC"/>
          <w:color w:val="000000"/>
          <w:sz w:val="22"/>
        </w:rPr>
        <w:t xml:space="preserve">”</w:t>
      </w:r>
    </w:p>
    <w:p>
      <w:pPr>
        <w:spacing w:after="120" w:line="312" w:lineRule="auto"/>
      </w:pPr>
      <w:r>
        <w:rPr>
          <w:rFonts w:ascii="DejaVu Serif" w:hAnsi="DejaVu Serif" w:eastAsia="Noto Serif CJK SC"/>
          <w:color w:val="000000"/>
          <w:sz w:val="22"/>
        </w:rPr>
        <w:pict>
          <v:rect style="width:0;height:1.5pt" o:hralign="center" o:hrstd="t" o:hr="t"/>
        </w:pict>
      </w:r>
    </w:p>
    <w:p>
      <w:pPr>
        <w:pStyle w:val="FirstParagraph"/>
        <w:spacing w:after="120" w:line="312" w:lineRule="auto"/>
      </w:pPr>
      <w:r>
        <w:rPr>
          <w:rFonts w:ascii="DejaVu Serif" w:hAnsi="DejaVu Serif" w:eastAsia="Noto Serif CJK SC"/>
          <w:color w:val="000000"/>
          <w:sz w:val="22"/>
        </w:rPr>
        <w:t xml:space="preserve">(This Part concludes)</w:t>
      </w:r>
    </w:p>
    <w:p>
      <w:pPr>
        <w:spacing w:after="120" w:line="312" w:lineRule="auto"/>
      </w:pPr>
      <w:r>
        <w:rPr>
          <w:rFonts w:ascii="DejaVu Serif" w:hAnsi="DejaVu Serif" w:eastAsia="Noto Serif CJK SC"/>
          <w:color w:val="000000"/>
          <w:sz w:val="22"/>
        </w:rPr>
        <w:pict>
          <v:rect style="width:0;height:1.5pt" o:hralign="center" o:hrstd="t" o:hr="t"/>
        </w:pict>
      </w:r>
    </w:p>
    <w:bookmarkEnd w:id="249"/>
    <w:bookmarkEnd w:id="250"/>
    <w:bookmarkEnd w:id="251"/>
    <w:bookmarkStart w:id="277" w:name="X30bacd6c7dded68351af13ce8580dcd818aa292"/>
    <w:p>
      <w:pPr>
        <w:pStyle w:val="Heading1"/>
        <w:spacing w:after="240" w:line="312" w:lineRule="auto"/>
        <w:jc w:val="center"/>
      </w:pPr>
      <w:r>
        <w:rPr>
          <w:rFonts w:ascii="DejaVu Serif" w:hAnsi="DejaVu Serif" w:eastAsia="Noto Serif CJK SC"/>
          <w:color w:val="000000"/>
          <w:sz w:val="34"/>
        </w:rPr>
        <w:t xml:space="preserve">Part III Annexes (of equivalent effect to the main Charter)</w:t>
      </w:r>
    </w:p>
    <w:p>
      <w:pPr>
        <w:pStyle w:val="FirstParagraph"/>
        <w:spacing w:after="120" w:line="312" w:lineRule="auto"/>
      </w:pPr>
      <w:r>
        <w:rPr>
          <w:rFonts w:ascii="DejaVu Serif" w:hAnsi="DejaVu Serif" w:eastAsia="Noto Serif CJK SC"/>
          <w:color w:val="000000"/>
          <w:sz w:val="22"/>
        </w:rPr>
        <w:t xml:space="preserve">This section includes minor documents of the annex system (verbatim full text, subject to the original annex collection documents); Documents A.07.001 and D.02.001 are voluminous, only indexes are listed, and the full text is available in the original documents.</w:t>
      </w:r>
    </w:p>
    <w:bookmarkStart w:id="257" w:name="series-a-personal-ethics-and-life"/>
    <w:p>
      <w:pPr>
        <w:pStyle w:val="Heading2"/>
        <w:spacing w:after="160" w:line="312" w:lineRule="auto"/>
        <w:jc w:val="left"/>
      </w:pPr>
      <w:r>
        <w:rPr>
          <w:rFonts w:ascii="DejaVu Serif" w:hAnsi="DejaVu Serif" w:eastAsia="Noto Serif CJK SC"/>
          <w:color w:val="000000"/>
          <w:sz w:val="30"/>
        </w:rPr>
        <w:t xml:space="preserve">Series A · Personal Ethics and Life</w:t>
      </w:r>
    </w:p>
    <w:bookmarkStart w:id="252" w:name="X48e409c17a8953f97aa91f831d56bddad447f85"/>
    <w:p>
      <w:pPr>
        <w:pStyle w:val="Heading3"/>
        <w:spacing w:after="120" w:line="312" w:lineRule="auto"/>
        <w:jc w:val="left"/>
      </w:pPr>
      <w:r>
        <w:rPr>
          <w:rFonts w:ascii="DejaVu Serif" w:hAnsi="DejaVu Serif" w:eastAsia="Noto Serif CJK SC"/>
          <w:color w:val="000000"/>
          <w:sz w:val="26"/>
        </w:rPr>
        <w:t xml:space="preserve">Annex A.01.001</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First Amendment to the Cosmic, Globalized and Internationalized Charter of Life Action</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(verbatim full text)</w:t>
      </w:r>
    </w:p>
    <w:p>
      <w:pPr>
        <w:pStyle w:val="FirstParagraph"/>
        <w:spacing w:after="120" w:line="312" w:lineRule="auto"/>
      </w:pPr>
      <w:r>
        <w:rPr>
          <w:rFonts w:ascii="DejaVu Serif" w:hAnsi="DejaVu Serif" w:eastAsia="Noto Serif CJK SC"/>
          <w:color w:val="000000"/>
          <w:sz w:val="22"/>
        </w:rPr>
        <w:t xml:space="preserve">【Verbatim Full Text】</w:t>
      </w:r>
    </w:p>
    <w:p>
      <w:pPr>
        <w:pStyle w:val="BodyText"/>
        <w:spacing w:after="120" w:line="312" w:lineRule="auto"/>
      </w:pPr>
      <w:r>
        <w:rPr>
          <w:rFonts w:ascii="DejaVu Serif" w:hAnsi="DejaVu Serif" w:eastAsia="Noto Serif CJK SC"/>
          <w:color w:val="000000"/>
          <w:sz w:val="22"/>
        </w:rPr>
        <w:t xml:space="preserve">Annex A.01.001 First Amendment to the Cosmic, Globalized and Internationalized Charter of Life Action</w:t>
      </w:r>
    </w:p>
    <w:p>
      <w:pPr>
        <w:pStyle w:val="BodyText"/>
        <w:spacing w:after="120" w:line="312" w:lineRule="auto"/>
      </w:pPr>
      <w:r>
        <w:rPr>
          <w:rFonts w:ascii="DejaVu Serif" w:hAnsi="DejaVu Serif" w:eastAsia="Noto Serif CJK SC"/>
          <w:color w:val="000000"/>
          <w:sz w:val="22"/>
        </w:rPr>
        <w:t xml:space="preserve">Article 1 [Basis] In accordance with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Cosmic, Globalized and Internationalized Charter of Life Action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Constitution,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to meet the needs of personal life governance under the new situation,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Cosmic, Globalized and Internationalized Charter of Life Action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is hereby revised as follows.</w:t>
      </w:r>
    </w:p>
    <w:p>
      <w:pPr>
        <w:pStyle w:val="BodyText"/>
        <w:spacing w:after="120" w:line="312" w:lineRule="auto"/>
      </w:pPr>
      <w:r>
        <w:rPr>
          <w:rFonts w:ascii="DejaVu Serif" w:hAnsi="DejaVu Serif" w:eastAsia="Noto Serif CJK SC"/>
          <w:color w:val="000000"/>
          <w:sz w:val="22"/>
        </w:rPr>
        <w:t xml:space="preserve">Article 2 【Replacing Private Investment Bank Corporate Entities with Private Cross-National Family Office Corporate Entities】 The original text of Article 2, Item 31 of the Charter is: Item 31 Ultimately, a simplified, minimalist, globalized, transnational, cross-cultural private investment bank corporate entity organization may be established.</w:t>
      </w:r>
    </w:p>
    <w:p>
      <w:pPr>
        <w:pStyle w:val="BodyText"/>
        <w:spacing w:after="120" w:line="312" w:lineRule="auto"/>
      </w:pPr>
      <w:r>
        <w:rPr>
          <w:rFonts w:ascii="DejaVu Serif" w:hAnsi="DejaVu Serif" w:eastAsia="Noto Serif CJK SC"/>
          <w:color w:val="000000"/>
          <w:sz w:val="22"/>
        </w:rPr>
        <w:t xml:space="preserve">Amend Article 2, Item 31 of the Charter to read: “Ultimately, a simplified, minimalist,</w:t>
      </w:r>
    </w:p>
    <w:p>
      <w:pPr>
        <w:pStyle w:val="BodyText"/>
        <w:spacing w:after="120" w:line="312" w:lineRule="auto"/>
      </w:pPr>
      <w:r>
        <w:rPr>
          <w:rFonts w:ascii="DejaVu Serif" w:hAnsi="DejaVu Serif" w:eastAsia="Noto Serif CJK SC"/>
          <w:color w:val="000000"/>
          <w:sz w:val="22"/>
        </w:rPr>
        <w:t xml:space="preserve">globalized, transnational, cross-cultural private cross-national family office corporate entity organization of persons may be established.”</w:t>
      </w:r>
    </w:p>
    <w:p>
      <w:pPr>
        <w:pStyle w:val="BodyText"/>
        <w:spacing w:after="120" w:line="312" w:lineRule="auto"/>
      </w:pPr>
      <w:r>
        <w:rPr>
          <w:rFonts w:ascii="DejaVu Serif" w:hAnsi="DejaVu Serif" w:eastAsia="Noto Serif CJK SC"/>
          <w:color w:val="000000"/>
          <w:sz w:val="22"/>
        </w:rPr>
        <w:t xml:space="preserve">Article 3 【Substitutability of the Establishment of Private Equity Funds】 Add an article after Article 8-3 of the Charter,</w:t>
      </w:r>
    </w:p>
    <w:p>
      <w:pPr>
        <w:pStyle w:val="BodyText"/>
        <w:spacing w:after="120" w:line="312" w:lineRule="auto"/>
      </w:pPr>
      <w:r>
        <w:rPr>
          <w:rFonts w:ascii="DejaVu Serif" w:hAnsi="DejaVu Serif" w:eastAsia="Noto Serif CJK SC"/>
          <w:color w:val="000000"/>
          <w:sz w:val="22"/>
        </w:rPr>
        <w:t xml:space="preserve">to be Article 8-4 of the Charter, with the following content:</w:t>
      </w:r>
    </w:p>
    <w:p>
      <w:pPr>
        <w:pStyle w:val="BodyText"/>
        <w:spacing w:after="120" w:line="312" w:lineRule="auto"/>
      </w:pP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individual, in accordance with the law and the governing principles of this Charter, within the scope of this Charter, lists the establishment of private equity funds as an optional item, but under no circumstances is it a mandatory life project.</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Article 4 【Permissibility of Non-Monetary Shareholder Entry Investment Methods】Add an Article after Article 8-4 of the Charter, to be Article 8-5 of the Charter, with the following content:</w:t>
      </w:r>
    </w:p>
    <w:p>
      <w:pPr>
        <w:pStyle w:val="BodyText"/>
        <w:spacing w:after="120" w:line="312" w:lineRule="auto"/>
      </w:pPr>
      <w:r>
        <w:rPr>
          <w:rFonts w:ascii="DejaVu Serif" w:hAnsi="DejaVu Serif" w:eastAsia="Noto Serif CJK SC"/>
          <w:color w:val="000000"/>
          <w:sz w:val="22"/>
        </w:rPr>
        <w:t xml:space="preserve">“</w:t>
      </w:r>
      <w:r>
        <w:rPr>
          <w:rFonts w:ascii="DejaVu Serif" w:hAnsi="DejaVu Serif" w:eastAsia="Noto Serif CJK SC"/>
          <w:color w:val="000000"/>
          <w:sz w:val="22"/>
        </w:rPr>
        <w:t xml:space="preserve">Under this Charter, for myself (any legal person or unincorporated entity such as a company or enterprise), non-monetary shareholder entry into investment methods may be achieved through:</w:t>
      </w:r>
      <w:r>
        <w:rPr>
          <w:rFonts w:ascii="DejaVu Serif" w:hAnsi="DejaVu Serif" w:eastAsia="Noto Serif CJK SC"/>
          <w:color w:val="000000"/>
          <w:sz w:val="22"/>
        </w:rPr>
        <w:t xml:space="preserve">”</w:t>
      </w:r>
    </w:p>
    <w:p>
      <w:pPr>
        <w:numPr>
          <w:ilvl w:val="0"/>
          <w:numId w:val="1031"/>
        </w:numPr>
        <w:spacing w:after="120" w:line="312" w:lineRule="auto"/>
      </w:pPr>
      <w:r>
        <w:rPr>
          <w:rFonts w:ascii="DejaVu Serif" w:hAnsi="DejaVu Serif" w:eastAsia="Noto Serif CJK SC"/>
          <w:color w:val="000000"/>
          <w:sz w:val="22"/>
        </w:rPr>
        <w:t xml:space="preserve">By equity;</w:t>
      </w:r>
    </w:p>
    <w:p>
      <w:pPr>
        <w:numPr>
          <w:ilvl w:val="0"/>
          <w:numId w:val="1031"/>
        </w:numPr>
        <w:spacing w:after="120" w:line="312" w:lineRule="auto"/>
      </w:pPr>
      <w:r>
        <w:rPr>
          <w:rFonts w:ascii="DejaVu Serif" w:hAnsi="DejaVu Serif" w:eastAsia="Noto Serif CJK SC"/>
          <w:color w:val="000000"/>
          <w:sz w:val="22"/>
        </w:rPr>
        <w:t xml:space="preserve">By creditor’s rights;</w:t>
      </w:r>
    </w:p>
    <w:p>
      <w:pPr>
        <w:numPr>
          <w:ilvl w:val="0"/>
          <w:numId w:val="1031"/>
        </w:numPr>
        <w:spacing w:after="120" w:line="312" w:lineRule="auto"/>
      </w:pPr>
      <w:r>
        <w:rPr>
          <w:rFonts w:ascii="DejaVu Serif" w:hAnsi="DejaVu Serif" w:eastAsia="Noto Serif CJK SC"/>
          <w:color w:val="000000"/>
          <w:sz w:val="22"/>
        </w:rPr>
        <w:t xml:space="preserve">By intellectual property (IPR);</w:t>
      </w:r>
    </w:p>
    <w:p>
      <w:pPr>
        <w:numPr>
          <w:ilvl w:val="0"/>
          <w:numId w:val="1031"/>
        </w:numPr>
        <w:spacing w:after="120" w:line="312" w:lineRule="auto"/>
      </w:pPr>
      <w:r>
        <w:rPr>
          <w:rFonts w:ascii="DejaVu Serif" w:hAnsi="DejaVu Serif" w:eastAsia="Noto Serif CJK SC"/>
          <w:color w:val="000000"/>
          <w:sz w:val="22"/>
        </w:rPr>
        <w:t xml:space="preserve">The right to use a specific, legally acquired, and appraisable asset;</w:t>
      </w:r>
    </w:p>
    <w:p>
      <w:pPr>
        <w:numPr>
          <w:ilvl w:val="0"/>
          <w:numId w:val="1031"/>
        </w:numPr>
        <w:spacing w:after="120" w:line="312" w:lineRule="auto"/>
      </w:pPr>
      <w:r>
        <w:rPr>
          <w:rFonts w:ascii="DejaVu Serif" w:hAnsi="DejaVu Serif" w:eastAsia="Noto Serif CJK SC"/>
          <w:color w:val="000000"/>
          <w:sz w:val="22"/>
        </w:rPr>
        <w:t xml:space="preserve">To be realized through a combination investment of one or more non-monetary shareholder-usable legal entry methods into the investment subject matter.”</w:t>
      </w:r>
    </w:p>
    <w:p>
      <w:pPr>
        <w:pStyle w:val="FirstParagraph"/>
        <w:spacing w:after="120" w:line="312" w:lineRule="auto"/>
      </w:pPr>
      <w:r>
        <w:rPr>
          <w:rFonts w:ascii="DejaVu Serif" w:hAnsi="DejaVu Serif" w:eastAsia="Noto Serif CJK SC"/>
          <w:color w:val="000000"/>
          <w:sz w:val="22"/>
        </w:rPr>
        <w:t xml:space="preserve">Article 5 【Legal Adjustment of Female Age Standard in Article 13-5】 After Article 13-5, one Article is added as Article 13-6, with the following content:</w:t>
      </w:r>
    </w:p>
    <w:p>
      <w:pPr>
        <w:pStyle w:val="BodyText"/>
        <w:spacing w:after="120" w:line="312" w:lineRule="auto"/>
      </w:pPr>
      <w:r>
        <w:rPr>
          <w:rFonts w:ascii="DejaVu Serif" w:hAnsi="DejaVu Serif" w:eastAsia="Noto Serif CJK SC"/>
          <w:color w:val="000000"/>
          <w:sz w:val="22"/>
        </w:rPr>
        <w:t xml:space="preserve">“</w:t>
      </w:r>
      <w:r>
        <w:rPr>
          <w:rFonts w:ascii="DejaVu Serif" w:hAnsi="DejaVu Serif" w:eastAsia="Noto Serif CJK SC"/>
          <w:color w:val="000000"/>
          <w:sz w:val="22"/>
        </w:rPr>
        <w:t xml:space="preserve">Although there are the provisions and declarations of the preceding paragraph, when (a) the person’s country of legal nationality or (b) the country of residence where the act occurred or (c) the country of residence where the result occurred or (d) the nationality country of the counterparty is one or more of the People’s Republic of China, the age of the female under Article 13-5 shall not be less than fourteen years;</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When the foregoing (a)-(d) apply to other countries, and the relevant criminal law (code/statute) of such country stipulates a higher age limit, adjustment shall be made in accordance with its provisions; however, when the individual can no longer satisfy the condition that the foregoing (a) applies to the People’s Republic of China, and the criminal law (code/statute) of the new country of citizenship stipulates a lower age limit and there is no existence of (b)</w:t>
      </w:r>
    </w:p>
    <w:p>
      <w:pPr>
        <w:pStyle w:val="Compact"/>
        <w:numPr>
          <w:ilvl w:val="0"/>
          <w:numId w:val="1032"/>
        </w:numPr>
        <w:spacing w:after="120" w:line="312" w:lineRule="auto"/>
      </w:pPr>
    </w:p>
    <w:p>
      <w:pPr>
        <w:pStyle w:val="Compact"/>
        <w:numPr>
          <w:ilvl w:val="1"/>
          <w:numId w:val="1033"/>
        </w:numPr>
        <w:spacing w:after="120" w:line="312" w:lineRule="auto"/>
      </w:pPr>
      <w:r>
        <w:rPr>
          <w:rFonts w:ascii="DejaVu Serif" w:hAnsi="DejaVu Serif" w:eastAsia="Noto Serif CJK SC"/>
          <w:color w:val="000000"/>
          <w:sz w:val="22"/>
        </w:rPr>
        <w:t xml:space="preserve">This shall not apply where the relevant national criminal law (code/statute, etc.) stipulates a higher age limit.”</w:t>
      </w:r>
    </w:p>
    <w:p>
      <w:pPr>
        <w:pStyle w:val="FirstParagraph"/>
        <w:spacing w:after="120" w:line="312" w:lineRule="auto"/>
      </w:pPr>
      <w:r>
        <w:rPr>
          <w:rFonts w:ascii="DejaVu Serif" w:hAnsi="DejaVu Serif" w:eastAsia="Noto Serif CJK SC"/>
          <w:color w:val="000000"/>
          <w:sz w:val="22"/>
        </w:rPr>
        <w:t xml:space="preserve">Article 6 【Article 13-4(b) Scope of Application of Article 13-4】 Add an Article as Article 13-4(b) after Article 13-4, with the following content:</w:t>
      </w:r>
    </w:p>
    <w:p>
      <w:pPr>
        <w:pStyle w:val="BodyText"/>
        <w:spacing w:after="120" w:line="312" w:lineRule="auto"/>
      </w:pPr>
      <w:r>
        <w:rPr>
          <w:rFonts w:ascii="DejaVu Serif" w:hAnsi="DejaVu Serif" w:eastAsia="Noto Serif CJK SC"/>
          <w:color w:val="000000"/>
          <w:sz w:val="22"/>
        </w:rPr>
        <w:t xml:space="preserve">“</w:t>
      </w:r>
      <w:r>
        <w:rPr>
          <w:rFonts w:ascii="DejaVu Serif" w:hAnsi="DejaVu Serif" w:eastAsia="Noto Serif CJK SC"/>
          <w:color w:val="000000"/>
          <w:sz w:val="22"/>
        </w:rPr>
        <w:t xml:space="preserve">This Article applies and applies only to the circumstance where the person’s country of nationality is no longer the People’s Republic of China (having legally completed prior nationality change), and the criminal law or even the laws of the new country of nationality do not expressly prohibit such action.</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Article 7 [Effectiveness and Implementation] This Charter Amendment (as Annex A.01 of the Charter, with its own first amendment version number being Annex A.01.001, i.e., this document) shall take effect from the date of signature on August 14, 2025, and its retroactive effect may be applied from August 13, 2025.</w:t>
      </w:r>
    </w:p>
    <w:p>
      <w:pPr>
        <w:pStyle w:val="BodyText"/>
        <w:spacing w:after="120" w:line="312" w:lineRule="auto"/>
      </w:pPr>
      <w:r>
        <w:rPr>
          <w:rFonts w:ascii="DejaVu Serif" w:hAnsi="DejaVu Serif" w:eastAsia="Noto Serif CJK SC"/>
          <w:color w:val="000000"/>
          <w:sz w:val="22"/>
        </w:rPr>
        <w:t xml:space="preserve">Article 8 [Right of Interpretation] The right to interpret this Charter is retained by the Charter-Maker myself and is exercised in written form.</w:t>
      </w:r>
    </w:p>
    <w:p>
      <w:pPr>
        <w:pStyle w:val="BodyText"/>
        <w:spacing w:after="120" w:line="312" w:lineRule="auto"/>
      </w:pPr>
      <w:r>
        <w:rPr>
          <w:rFonts w:ascii="DejaVu Serif" w:hAnsi="DejaVu Serif" w:eastAsia="Noto Serif CJK SC"/>
          <w:color w:val="000000"/>
          <w:sz w:val="22"/>
        </w:rPr>
        <w:t xml:space="preserve">Charter (and its Amendments) Maker/Amender’s Signature:</w:t>
      </w:r>
    </w:p>
    <w:p>
      <w:pPr>
        <w:pStyle w:val="BodyText"/>
        <w:spacing w:after="120" w:line="312" w:lineRule="auto"/>
      </w:pPr>
      <w:r>
        <w:rPr>
          <w:rFonts w:ascii="DejaVu Serif" w:hAnsi="DejaVu Serif" w:eastAsia="Noto Serif CJK SC"/>
          <w:color w:val="000000"/>
          <w:sz w:val="22"/>
        </w:rPr>
        <w:t xml:space="preserve">Annex 1:</w:t>
      </w:r>
    </w:p>
    <w:p>
      <w:pPr>
        <w:pStyle w:val="BodyText"/>
        <w:spacing w:after="120" w:line="312" w:lineRule="auto"/>
      </w:pPr>
      <w:r>
        <w:rPr>
          <w:rFonts w:ascii="DejaVu Serif" w:hAnsi="DejaVu Serif" w:eastAsia="Noto Serif CJK SC"/>
          <w:color w:val="000000"/>
          <w:sz w:val="22"/>
        </w:rPr>
        <w:t xml:space="preserve">The following acts, which are not crimes as they are not explicitly stipulated as such in the Criminal Law of the People’s Republic of China or its judicial interpretations, are hereby compiled as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relative special compliance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situations under the Criminal Law of the People’s Republic of China, and may be taken as extraordinary means when necessary:</w:t>
      </w:r>
    </w:p>
    <w:p>
      <w:pPr>
        <w:numPr>
          <w:ilvl w:val="0"/>
          <w:numId w:val="1034"/>
        </w:numPr>
        <w:spacing w:after="120" w:line="312" w:lineRule="auto"/>
      </w:pPr>
      <w:r>
        <w:rPr>
          <w:rFonts w:ascii="DejaVu Serif" w:hAnsi="DejaVu Serif" w:eastAsia="Noto Serif CJK SC"/>
          <w:color w:val="000000"/>
          <w:sz w:val="22"/>
        </w:rPr>
        <w:t xml:space="preserve">Although selling adulterated or counterfeit substandard products, but the sales amount is less than RMB 50,000.</w:t>
      </w:r>
    </w:p>
    <w:p>
      <w:pPr>
        <w:numPr>
          <w:ilvl w:val="0"/>
          <w:numId w:val="1034"/>
        </w:numPr>
        <w:spacing w:after="120" w:line="312" w:lineRule="auto"/>
      </w:pPr>
      <w:r>
        <w:rPr>
          <w:rFonts w:ascii="DejaVu Serif" w:hAnsi="DejaVu Serif" w:eastAsia="Noto Serif CJK SC"/>
          <w:color w:val="000000"/>
          <w:sz w:val="22"/>
        </w:rPr>
        <w:t xml:space="preserve">Although producing and selling inferior drugs, no substantial harm to human health has been caused.</w:t>
      </w:r>
    </w:p>
    <w:p>
      <w:pPr>
        <w:numPr>
          <w:ilvl w:val="0"/>
          <w:numId w:val="1034"/>
        </w:numPr>
        <w:spacing w:after="120" w:line="312" w:lineRule="auto"/>
      </w:pPr>
      <w:r>
        <w:rPr>
          <w:rFonts w:ascii="DejaVu Serif" w:hAnsi="DejaVu Serif" w:eastAsia="Noto Serif CJK SC"/>
          <w:color w:val="000000"/>
          <w:sz w:val="22"/>
        </w:rPr>
        <w:t xml:space="preserve">Producing and selling food that does not meet food safety standards, but it is not yet sufficient to cause serious food poisoning incidents or other serious food-borne diseases.</w:t>
      </w:r>
    </w:p>
    <w:p>
      <w:pPr>
        <w:numPr>
          <w:ilvl w:val="0"/>
          <w:numId w:val="1034"/>
        </w:numPr>
        <w:spacing w:after="120" w:line="312" w:lineRule="auto"/>
      </w:pPr>
      <w:r>
        <w:rPr>
          <w:rFonts w:ascii="DejaVu Serif" w:hAnsi="DejaVu Serif" w:eastAsia="Noto Serif CJK SC"/>
          <w:color w:val="000000"/>
          <w:sz w:val="22"/>
        </w:rPr>
        <w:t xml:space="preserve">Producing medical devices or medical and health materials that do not conform to national standards or industry standards for ensuring human health, or selling medical devices or medical and health materials that one knows do not conform to national standards or industry standards for ensuring human health,</w:t>
      </w:r>
    </w:p>
    <w:p>
      <w:pPr>
        <w:pStyle w:val="FirstParagraph"/>
        <w:spacing w:after="120" w:line="312" w:lineRule="auto"/>
      </w:pPr>
      <w:r>
        <w:rPr>
          <w:rFonts w:ascii="DejaVu Serif" w:hAnsi="DejaVu Serif" w:eastAsia="Noto Serif CJK SC"/>
          <w:color w:val="000000"/>
          <w:sz w:val="22"/>
        </w:rPr>
        <w:t xml:space="preserve">Medical and health materials that do not yet seriously endanger human health.</w:t>
      </w:r>
    </w:p>
    <w:p>
      <w:pPr>
        <w:pStyle w:val="Compact"/>
        <w:numPr>
          <w:ilvl w:val="0"/>
          <w:numId w:val="1035"/>
        </w:numPr>
        <w:spacing w:after="120" w:line="312" w:lineRule="auto"/>
      </w:pPr>
      <w:r>
        <w:rPr>
          <w:rFonts w:ascii="DejaVu Serif" w:hAnsi="DejaVu Serif" w:eastAsia="Noto Serif CJK SC"/>
          <w:color w:val="000000"/>
          <w:sz w:val="22"/>
        </w:rPr>
        <w:t xml:space="preserve">Producing electrical appliances, pressure vessels, flammable and explosive products, or other products that do not meet national or industry standards for safeguarding personal and property safety, or selling明知 (knowing that) the aforementioned products that do not meet national or industry standards for safeguarding personal and property safety, and no serious consequences have been caused, and the total sales amount is less than RMB 50,000.</w:t>
      </w:r>
    </w:p>
    <w:p>
      <w:pPr>
        <w:pStyle w:val="FirstParagraph"/>
        <w:spacing w:after="120" w:line="312" w:lineRule="auto"/>
      </w:pPr>
      <w:r>
        <w:rPr>
          <w:rFonts w:ascii="DejaVu Serif" w:hAnsi="DejaVu Serif" w:eastAsia="Noto Serif CJK SC"/>
          <w:color w:val="000000"/>
          <w:sz w:val="22"/>
        </w:rPr>
        <w:t xml:space="preserve">Although the circumstances and acts constitute a crime, however:</w:t>
      </w:r>
    </w:p>
    <w:p>
      <w:pPr>
        <w:pStyle w:val="BodyText"/>
        <w:spacing w:after="120" w:line="312" w:lineRule="auto"/>
      </w:pPr>
      <w:r>
        <w:rPr>
          <w:rFonts w:ascii="DejaVu Serif" w:hAnsi="DejaVu Serif" w:eastAsia="Noto Serif CJK SC"/>
          <w:color w:val="000000"/>
          <w:sz w:val="22"/>
        </w:rPr>
        <w:t xml:space="preserve">① Persons or cases not discovered by judicial or law enforcement authorities, or for which there is insufficient legal evidence, shall not be penalized;</w:t>
      </w:r>
    </w:p>
    <w:p>
      <w:pPr>
        <w:pStyle w:val="BodyText"/>
        <w:spacing w:after="120" w:line="312" w:lineRule="auto"/>
      </w:pPr>
      <w:r>
        <w:rPr>
          <w:rFonts w:ascii="DejaVu Serif" w:hAnsi="DejaVu Serif" w:eastAsia="Noto Serif CJK SC"/>
          <w:color w:val="000000"/>
          <w:sz w:val="22"/>
        </w:rPr>
        <w:t xml:space="preserve">② And persons or cases that have not been subject to any valid and lawful criminal complaint by any other natural person, legal person, or institutional organization shall not be punished; ③ Persons or cases that the law considers to have circumstances of significant minor nature (scope of impact, amount involved, etc.) shall not be punished;</w:t>
      </w:r>
    </w:p>
    <w:p>
      <w:pPr>
        <w:pStyle w:val="BodyText"/>
        <w:spacing w:after="120" w:line="312" w:lineRule="auto"/>
      </w:pPr>
      <w:r>
        <w:rPr>
          <w:rFonts w:ascii="DejaVu Serif" w:hAnsi="DejaVu Serif" w:eastAsia="Noto Serif CJK SC"/>
          <w:color w:val="000000"/>
          <w:sz w:val="22"/>
        </w:rPr>
        <w:t xml:space="preserve">④ Persons or cases that exceed the statute of limitations or are pardoned by a pardon order shall not be punished;</w:t>
      </w:r>
    </w:p>
    <w:p>
      <w:pPr>
        <w:pStyle w:val="BodyText"/>
        <w:spacing w:after="120" w:line="312" w:lineRule="auto"/>
      </w:pPr>
      <w:r>
        <w:rPr>
          <w:rFonts w:ascii="DejaVu Serif" w:hAnsi="DejaVu Serif" w:eastAsia="Noto Serif CJK SC"/>
          <w:color w:val="000000"/>
          <w:sz w:val="22"/>
        </w:rPr>
        <w:t xml:space="preserve">⑤ Parties who reach mutual understanding, withdraw their complaint in compliance with regulations, and receive court approval shall not be penalized.</w:t>
      </w:r>
    </w:p>
    <w:p>
      <w:pPr>
        <w:pStyle w:val="Compact"/>
        <w:numPr>
          <w:ilvl w:val="0"/>
          <w:numId w:val="1036"/>
        </w:numPr>
        <w:spacing w:after="120" w:line="312" w:lineRule="auto"/>
      </w:pPr>
      <w:r>
        <w:rPr>
          <w:rFonts w:ascii="DejaVu Serif" w:hAnsi="DejaVu Serif" w:eastAsia="Noto Serif CJK SC"/>
          <w:color w:val="000000"/>
          <w:sz w:val="22"/>
        </w:rPr>
        <w:t xml:space="preserve">To produce counterfeit pesticides, veterinary medicines, or chemical fertilizers; to sell pesticides, veterinary medicines, chemical fertilizers, or seeds knowing them to be counterfeit or to have lost their efficacy; or for a producer or seller to supply pesticides, veterinary medicines, chemical fertilizers, or seeds that are non-conforming,</w:t>
      </w:r>
    </w:p>
    <w:p>
      <w:pPr>
        <w:pStyle w:val="FirstParagraph"/>
        <w:spacing w:after="120" w:line="312" w:lineRule="auto"/>
      </w:pPr>
      <w:r>
        <w:rPr>
          <w:rFonts w:ascii="DejaVu Serif" w:hAnsi="DejaVu Serif" w:eastAsia="Noto Serif CJK SC"/>
          <w:color w:val="000000"/>
          <w:sz w:val="22"/>
        </w:rPr>
        <w:t xml:space="preserve">Seeds are passed off as qualified pesticides, veterinary drugs, fertilizers, or seeds, but have not yet caused production to suffer the greater losses stipulated by criminal law, and the total sales amount is less than 50,000 RMB.</w:t>
      </w:r>
    </w:p>
    <w:p>
      <w:pPr>
        <w:numPr>
          <w:ilvl w:val="0"/>
          <w:numId w:val="1037"/>
        </w:numPr>
        <w:spacing w:after="120" w:line="312" w:lineRule="auto"/>
      </w:pPr>
      <w:r>
        <w:rPr>
          <w:rFonts w:ascii="DejaVu Serif" w:hAnsi="DejaVu Serif" w:eastAsia="Noto Serif CJK SC"/>
          <w:color w:val="000000"/>
          <w:sz w:val="22"/>
        </w:rPr>
        <w:t xml:space="preserve">Producing cosmetics that do not meet hygienic standards, or selling明知 (knowing that) cosmetics that do not meet hygienic standards, without causing the serious consequences stipulated in the Criminal Law.</w:t>
      </w:r>
    </w:p>
    <w:p>
      <w:pPr>
        <w:numPr>
          <w:ilvl w:val="0"/>
          <w:numId w:val="1037"/>
        </w:numPr>
        <w:spacing w:after="120" w:line="312" w:lineRule="auto"/>
      </w:pPr>
      <w:r>
        <w:rPr>
          <w:rFonts w:ascii="DejaVu Serif" w:hAnsi="DejaVu Serif" w:eastAsia="Noto Serif CJK SC"/>
          <w:color w:val="000000"/>
          <w:sz w:val="22"/>
        </w:rPr>
        <w:t xml:space="preserve">When registering a company that implements a paid-in registered capital registration system, applying for company registration using false supporting documents or employing other fraudulent means to falsely report registered capital, deceiving the company registration authority to obtain company registration, where the amount of the falsely reported registered capital fails to reach the standards for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huge amount,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serious consequences,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other serious circumstances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 and its judicial interpretations. 9. The company promoters or shareholders violate the provisions of the Company Law by failing to contribute currency or property, or by failing to transfer property rights, thereby making false capital contributions, or by withdrawing their capital contributions after the company’s establishment, but where the amount does not reach the standard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huge amount,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serious consequences,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other serious circumstances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w:t>
      </w:r>
    </w:p>
    <w:p>
      <w:pPr>
        <w:numPr>
          <w:ilvl w:val="0"/>
          <w:numId w:val="1037"/>
        </w:numPr>
        <w:spacing w:after="120" w:line="312" w:lineRule="auto"/>
      </w:pPr>
      <w:r>
        <w:rPr>
          <w:rFonts w:ascii="DejaVu Serif" w:hAnsi="DejaVu Serif" w:eastAsia="Noto Serif CJK SC"/>
          <w:color w:val="000000"/>
          <w:sz w:val="22"/>
        </w:rPr>
        <w:t xml:space="preserve">Concealing important facts or fabricating major false content in offering documents such as prospectuses, subscription agreements, or offering circulars for corporate or enterprise bonds, and issuing stocks, corporate or enterprise bonds, depositary receipts, or other securities as legally determined by the State Council, but not yet reaching the standards for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huge amount,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serious consequences,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other serious circumstances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w:t>
      </w:r>
    </w:p>
    <w:p>
      <w:pPr>
        <w:numPr>
          <w:ilvl w:val="0"/>
          <w:numId w:val="1037"/>
        </w:numPr>
        <w:spacing w:after="120" w:line="312" w:lineRule="auto"/>
      </w:pPr>
      <w:r>
        <w:rPr>
          <w:rFonts w:ascii="DejaVu Serif" w:hAnsi="DejaVu Serif" w:eastAsia="Noto Serif CJK SC"/>
          <w:color w:val="000000"/>
          <w:sz w:val="22"/>
        </w:rPr>
        <w:t xml:space="preserve">A company or enterprise that is legally obligated to disclose information provides false financial and accounting reports to its shareholders and the public, or conceals material facts therein, or fails to disclose other legally required material information in accordance with regulations, but has not yet caused serious harm to the interests of shareholders or other persons, or involves other serious circumstances.</w:t>
      </w:r>
    </w:p>
    <w:p>
      <w:pPr>
        <w:numPr>
          <w:ilvl w:val="0"/>
          <w:numId w:val="1037"/>
        </w:numPr>
        <w:spacing w:after="120" w:line="312" w:lineRule="auto"/>
      </w:pPr>
      <w:r>
        <w:rPr>
          <w:rFonts w:ascii="DejaVu Serif" w:hAnsi="DejaVu Serif" w:eastAsia="Noto Serif CJK SC"/>
          <w:color w:val="000000"/>
          <w:sz w:val="22"/>
        </w:rPr>
        <w:t xml:space="preserve">For the criminal penalty standards for concealing assets, making false entries in the balance sheet or inventory of assets, or distributing the assets of a company or enterprise before clearing debts, thereby seriously harming the interests of creditors or other persons, during the liquidation of a company or enterprise.</w:t>
      </w:r>
    </w:p>
    <w:p>
      <w:pPr>
        <w:numPr>
          <w:ilvl w:val="0"/>
          <w:numId w:val="1037"/>
        </w:numPr>
        <w:spacing w:after="120" w:line="312" w:lineRule="auto"/>
      </w:pPr>
      <w:r>
        <w:rPr>
          <w:rFonts w:ascii="DejaVu Serif" w:hAnsi="DejaVu Serif" w:eastAsia="Noto Serif CJK SC"/>
          <w:color w:val="000000"/>
          <w:sz w:val="22"/>
        </w:rPr>
        <w:t xml:space="preserve">Concealing or intentionally destroying accounting vouchers, accounting books, or financial accounting reports that are legally required to be preserved, but which have not yet reached the standard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serious circumstances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w:t>
      </w:r>
    </w:p>
    <w:p>
      <w:pPr>
        <w:numPr>
          <w:ilvl w:val="0"/>
          <w:numId w:val="1037"/>
        </w:numPr>
        <w:spacing w:after="120" w:line="312" w:lineRule="auto"/>
      </w:pPr>
      <w:r>
        <w:rPr>
          <w:rFonts w:ascii="DejaVu Serif" w:hAnsi="DejaVu Serif" w:eastAsia="Noto Serif CJK SC"/>
          <w:color w:val="000000"/>
          <w:sz w:val="22"/>
        </w:rPr>
        <w:t xml:space="preserve">A company or enterprise conceals its assets, assumes fictitious debts, or by other means transfers or disposes of its assets to commit fraudulent bankruptcy, but has not yet seriously harmed the interests of creditors or other persons.</w:t>
      </w:r>
    </w:p>
    <w:p>
      <w:pPr>
        <w:numPr>
          <w:ilvl w:val="0"/>
          <w:numId w:val="1037"/>
        </w:numPr>
        <w:spacing w:after="120" w:line="312" w:lineRule="auto"/>
      </w:pPr>
      <w:r>
        <w:rPr>
          <w:rFonts w:ascii="DejaVu Serif" w:hAnsi="DejaVu Serif" w:eastAsia="Noto Serif CJK SC"/>
          <w:color w:val="000000"/>
          <w:sz w:val="22"/>
        </w:rPr>
        <w:t xml:space="preserve">A staff member of a company, enterprise, or other unit, by taking advantage of their position, extorts property from another person or illegally accepts property from another person for the purpose of securing benefits for that person, where the amount does not reach the standard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relatively large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w:t>
      </w:r>
    </w:p>
    <w:p>
      <w:pPr>
        <w:numPr>
          <w:ilvl w:val="0"/>
          <w:numId w:val="1037"/>
        </w:numPr>
        <w:spacing w:after="120" w:line="312" w:lineRule="auto"/>
      </w:pPr>
      <w:r>
        <w:rPr>
          <w:rFonts w:ascii="DejaVu Serif" w:hAnsi="DejaVu Serif" w:eastAsia="Noto Serif CJK SC"/>
          <w:color w:val="000000"/>
          <w:sz w:val="22"/>
        </w:rPr>
        <w:t xml:space="preserve">To seek improper benefits, giving property to a partner, cooperator, or other member of a company, enterprise, or other organization, a foreign public official, or an official of an international public organization, but not yet reaching the standard of a relatively large amount (20,000 yuan or more).</w:t>
      </w:r>
    </w:p>
    <w:p>
      <w:pPr>
        <w:numPr>
          <w:ilvl w:val="0"/>
          <w:numId w:val="1037"/>
        </w:numPr>
        <w:spacing w:after="120" w:line="312" w:lineRule="auto"/>
      </w:pPr>
      <w:r>
        <w:rPr>
          <w:rFonts w:ascii="DejaVu Serif" w:hAnsi="DejaVu Serif" w:eastAsia="Noto Serif CJK SC"/>
          <w:color w:val="000000"/>
          <w:sz w:val="22"/>
        </w:rPr>
        <w:t xml:space="preserve">Where a director, supervisor, or senior manager of a listed company violates their fiduciary duty to the company and, by taking advantage of their position, manipulates the listed company to engage in any of the following acts, but has not yet caused significant losses to the company.</w:t>
      </w:r>
    </w:p>
    <w:p>
      <w:pPr>
        <w:numPr>
          <w:ilvl w:val="0"/>
          <w:numId w:val="1037"/>
        </w:numPr>
        <w:spacing w:after="120" w:line="312" w:lineRule="auto"/>
      </w:pPr>
      <w:r>
        <w:rPr>
          <w:rFonts w:ascii="DejaVu Serif" w:hAnsi="DejaVu Serif" w:eastAsia="Noto Serif CJK SC"/>
          <w:color w:val="000000"/>
          <w:sz w:val="22"/>
        </w:rPr>
        <w:t xml:space="preserve">Selling or purchasing counterfeit currency, or transporting counterfeit currency with knowledge of its counterfeit nature, where the amount has not yet reached the standard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relatively large amount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 (total face value of 4,000 yuan or more, or quantity of 400 notes/coins or more).</w:t>
      </w:r>
    </w:p>
    <w:p>
      <w:pPr>
        <w:numPr>
          <w:ilvl w:val="0"/>
          <w:numId w:val="1037"/>
        </w:numPr>
        <w:spacing w:after="120" w:line="312" w:lineRule="auto"/>
      </w:pPr>
      <w:r>
        <w:rPr>
          <w:rFonts w:ascii="DejaVu Serif" w:hAnsi="DejaVu Serif" w:eastAsia="Noto Serif CJK SC"/>
          <w:color w:val="000000"/>
          <w:sz w:val="22"/>
        </w:rPr>
        <w:t xml:space="preserve">Possessing or using counterfeit currency with knowledge of its counterfeit nature, but where the amount has not reached the standard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relatively large amount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 (4,000 yuan).</w:t>
      </w:r>
    </w:p>
    <w:p>
      <w:pPr>
        <w:numPr>
          <w:ilvl w:val="0"/>
          <w:numId w:val="1037"/>
        </w:numPr>
        <w:spacing w:after="120" w:line="312" w:lineRule="auto"/>
      </w:pPr>
      <w:r>
        <w:rPr>
          <w:rFonts w:ascii="DejaVu Serif" w:hAnsi="DejaVu Serif" w:eastAsia="Noto Serif CJK SC"/>
          <w:color w:val="000000"/>
          <w:sz w:val="22"/>
        </w:rPr>
        <w:t xml:space="preserve">To alter currency, but the amount does not reach the standard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relatively large amount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 (RMB 4,000).</w:t>
      </w:r>
      <w:r>
        <w:rPr>
          <w:rFonts w:ascii="DejaVu Serif" w:hAnsi="DejaVu Serif" w:eastAsia="Noto Serif CJK SC"/>
          <w:color w:val="000000"/>
          <w:sz w:val="22"/>
        </w:rPr>
        <w:br/>
      </w:r>
    </w:p>
    <w:p>
      <w:pPr>
        <w:numPr>
          <w:ilvl w:val="0"/>
          <w:numId w:val="1037"/>
        </w:numPr>
        <w:spacing w:after="120" w:line="312" w:lineRule="auto"/>
      </w:pPr>
      <w:r>
        <w:rPr>
          <w:rFonts w:ascii="DejaVu Serif" w:hAnsi="DejaVu Serif" w:eastAsia="Noto Serif CJK SC"/>
          <w:color w:val="000000"/>
          <w:sz w:val="22"/>
        </w:rPr>
        <w:t xml:space="preserve">For the purpose of profiting from re-lending, to obtain credit funds from financial institutions and then re-lend them to others at high interest, but the amount of illegal gains has not yet reached the standard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relatively large amount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w:t>
      </w:r>
    </w:p>
    <w:p>
      <w:pPr>
        <w:numPr>
          <w:ilvl w:val="0"/>
          <w:numId w:val="1037"/>
        </w:numPr>
        <w:spacing w:after="120" w:line="312" w:lineRule="auto"/>
      </w:pPr>
      <w:r>
        <w:rPr>
          <w:rFonts w:ascii="DejaVu Serif" w:hAnsi="DejaVu Serif" w:eastAsia="Noto Serif CJK SC"/>
          <w:color w:val="000000"/>
          <w:sz w:val="22"/>
        </w:rPr>
        <w:t xml:space="preserve">Obtaining loans, acceptance of bills of exchange, letters of credit, guarantees, or the like from a bank or other financial institution by means of fraud, but without causing substantial losses to the bank or other financial institution.</w:t>
      </w:r>
    </w:p>
    <w:p>
      <w:pPr>
        <w:numPr>
          <w:ilvl w:val="0"/>
          <w:numId w:val="1037"/>
        </w:numPr>
        <w:spacing w:after="120" w:line="312" w:lineRule="auto"/>
      </w:pPr>
      <w:r>
        <w:rPr>
          <w:rFonts w:ascii="DejaVu Serif" w:hAnsi="DejaVu Serif" w:eastAsia="Noto Serif CJK SC"/>
          <w:color w:val="000000"/>
          <w:sz w:val="22"/>
        </w:rPr>
        <w:t xml:space="preserve">The illegal absorption of public deposits or the quasi-absorption of public deposits, but which has not yet disrupted the financial order.</w:t>
      </w:r>
    </w:p>
    <w:p>
      <w:pPr>
        <w:numPr>
          <w:ilvl w:val="0"/>
          <w:numId w:val="1037"/>
        </w:numPr>
        <w:spacing w:after="120" w:line="312" w:lineRule="auto"/>
      </w:pPr>
      <w:r>
        <w:rPr>
          <w:rFonts w:ascii="DejaVu Serif" w:hAnsi="DejaVu Serif" w:eastAsia="Noto Serif CJK SC"/>
          <w:color w:val="000000"/>
          <w:sz w:val="22"/>
        </w:rPr>
        <w:t xml:space="preserve">To fraudulently obtain a credit card by using a false identification document issued by a non-state entity.</w:t>
      </w:r>
      <w:r>
        <w:rPr>
          <w:rFonts w:ascii="DejaVu Serif" w:hAnsi="DejaVu Serif" w:eastAsia="Noto Serif CJK SC"/>
          <w:color w:val="000000"/>
          <w:sz w:val="22"/>
        </w:rPr>
        <w:br/>
      </w:r>
    </w:p>
    <w:p>
      <w:pPr>
        <w:numPr>
          <w:ilvl w:val="0"/>
          <w:numId w:val="1037"/>
        </w:numPr>
        <w:spacing w:after="120" w:line="312" w:lineRule="auto"/>
      </w:pPr>
      <w:r>
        <w:rPr>
          <w:rFonts w:ascii="DejaVu Serif" w:hAnsi="DejaVu Serif" w:eastAsia="Noto Serif CJK SC"/>
          <w:color w:val="000000"/>
          <w:sz w:val="22"/>
        </w:rPr>
        <w:t xml:space="preserve">To forge or alter treasury bonds or other securities issued by the state, where the illegal gains have not yet reached the standard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 relatively large amount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w:t>
      </w:r>
    </w:p>
    <w:p>
      <w:pPr>
        <w:numPr>
          <w:ilvl w:val="0"/>
          <w:numId w:val="1037"/>
        </w:numPr>
        <w:spacing w:after="120" w:line="312" w:lineRule="auto"/>
      </w:pPr>
      <w:r>
        <w:rPr>
          <w:rFonts w:ascii="DejaVu Serif" w:hAnsi="DejaVu Serif" w:eastAsia="Noto Serif CJK SC"/>
          <w:color w:val="000000"/>
          <w:sz w:val="22"/>
        </w:rPr>
        <w:t xml:space="preserve">The counterfeiting or alteration of stocks or corporate or enterprise bonds, where the amount of illegally obtained gains has not yet reached the standard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 relatively large amount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w:t>
      </w:r>
    </w:p>
    <w:p>
      <w:pPr>
        <w:numPr>
          <w:ilvl w:val="0"/>
          <w:numId w:val="1037"/>
        </w:numPr>
        <w:spacing w:after="120" w:line="312" w:lineRule="auto"/>
      </w:pPr>
      <w:r>
        <w:rPr>
          <w:rFonts w:ascii="DejaVu Serif" w:hAnsi="DejaVu Serif" w:eastAsia="Noto Serif CJK SC"/>
          <w:color w:val="000000"/>
          <w:sz w:val="22"/>
        </w:rPr>
        <w:t xml:space="preserve">The unauthorized issuance of stocks or corporate or enterprise bonds without approval from the relevant competent state authorities, where the amount does not reach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huge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standard stipulated in the Criminal Law, does not constitute the standard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serious consequences,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also lacks other serious circumstances.</w:t>
      </w:r>
    </w:p>
    <w:p>
      <w:pPr>
        <w:numPr>
          <w:ilvl w:val="0"/>
          <w:numId w:val="1037"/>
        </w:numPr>
        <w:spacing w:after="120" w:line="312" w:lineRule="auto"/>
      </w:pPr>
      <w:r>
        <w:rPr>
          <w:rFonts w:ascii="DejaVu Serif" w:hAnsi="DejaVu Serif" w:eastAsia="Noto Serif CJK SC"/>
          <w:color w:val="000000"/>
          <w:sz w:val="22"/>
        </w:rPr>
        <w:t xml:space="preserve">Personnel with knowledge of inside information on securities or futures trading, or personnel who have unlawfully obtained such inside information, who purchase or sell the relevant securities before the information concerning the issuance of securities, securities or futures trading, or other information that has a material impact on the price of securities or futures trading is made public, or who engage in futures trading related to such inside information, or who disclose such information, or who expressly or implyingly instruct others to engage in the aforementioned trading activities, but whose actions do not yet constitute the circumstances described as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serious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by the Criminal Law.</w:t>
      </w:r>
    </w:p>
    <w:p>
      <w:pPr>
        <w:numPr>
          <w:ilvl w:val="0"/>
          <w:numId w:val="1037"/>
        </w:numPr>
        <w:spacing w:after="120" w:line="312" w:lineRule="auto"/>
      </w:pPr>
      <w:r>
        <w:rPr>
          <w:rFonts w:ascii="DejaVu Serif" w:hAnsi="DejaVu Serif" w:eastAsia="Noto Serif CJK SC"/>
          <w:color w:val="000000"/>
          <w:sz w:val="22"/>
        </w:rPr>
        <w:t xml:space="preserve">Stock exchanges, futures exchanges, securities companies, futures brokerages, fund management companies,</w:t>
      </w:r>
    </w:p>
    <w:p>
      <w:pPr>
        <w:pStyle w:val="FirstParagraph"/>
        <w:spacing w:after="120" w:line="312" w:lineRule="auto"/>
      </w:pPr>
      <w:r>
        <w:rPr>
          <w:rFonts w:ascii="DejaVu Serif" w:hAnsi="DejaVu Serif" w:eastAsia="Noto Serif CJK SC"/>
          <w:color w:val="000000"/>
          <w:sz w:val="22"/>
        </w:rPr>
        <w:t xml:space="preserve">Members of financial institutions such as commercial banks and insurance companies, as well as personnel of relevant regulatory departments or industry associations, who, in violation of regulations, engage in securities or futures trading activities related to non-public information other than inside information obtained by virtue of their official position, or who expressly or implyingly instruct others to engage in related trading activities, but whose conduct does not yet constitute the circumstances described as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serious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w:t>
      </w:r>
    </w:p>
    <w:p>
      <w:pPr>
        <w:numPr>
          <w:ilvl w:val="0"/>
          <w:numId w:val="1038"/>
        </w:numPr>
        <w:spacing w:after="120" w:line="312" w:lineRule="auto"/>
      </w:pPr>
      <w:r>
        <w:rPr>
          <w:rFonts w:ascii="DejaVu Serif" w:hAnsi="DejaVu Serif" w:eastAsia="Noto Serif CJK SC"/>
          <w:color w:val="000000"/>
          <w:sz w:val="22"/>
        </w:rPr>
        <w:t xml:space="preserve">Fabricating and disseminating false information affecting securities and futures trading, thereby disrupting the securities and futures trading market, without causing the serious consequences stipulated by the Criminal Law and its judicial interpretations.</w:t>
      </w:r>
    </w:p>
    <w:p>
      <w:pPr>
        <w:numPr>
          <w:ilvl w:val="0"/>
          <w:numId w:val="1038"/>
        </w:numPr>
        <w:spacing w:after="120" w:line="312" w:lineRule="auto"/>
      </w:pPr>
      <w:r>
        <w:rPr>
          <w:rFonts w:ascii="DejaVu Serif" w:hAnsi="DejaVu Serif" w:eastAsia="Noto Serif CJK SC"/>
          <w:color w:val="000000"/>
          <w:sz w:val="22"/>
        </w:rPr>
        <w:t xml:space="preserve">In any of the following circumstances, manipulating the securities or futures markets, affecting the price or volume of securities or futures transactions, but not yet reaching the standard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serious circumstances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w:t>
      </w:r>
    </w:p>
    <w:p>
      <w:pPr>
        <w:numPr>
          <w:ilvl w:val="0"/>
          <w:numId w:val="1039"/>
        </w:numPr>
        <w:spacing w:after="120" w:line="312" w:lineRule="auto"/>
      </w:pPr>
      <w:r>
        <w:rPr>
          <w:rFonts w:ascii="DejaVu Serif" w:hAnsi="DejaVu Serif" w:eastAsia="Noto Serif CJK SC"/>
          <w:color w:val="000000"/>
          <w:sz w:val="22"/>
        </w:rPr>
        <w:t xml:space="preserve">Individually or in collusion, concentrating capital advantages, shareholding or position advantages, or utilizing information advantages to engage in joint or continuous transactions;</w:t>
      </w:r>
    </w:p>
    <w:p>
      <w:pPr>
        <w:numPr>
          <w:ilvl w:val="0"/>
          <w:numId w:val="1039"/>
        </w:numPr>
        <w:spacing w:after="120" w:line="312" w:lineRule="auto"/>
      </w:pPr>
      <w:r>
        <w:rPr>
          <w:rFonts w:ascii="DejaVu Serif" w:hAnsi="DejaVu Serif" w:eastAsia="Noto Serif CJK SC"/>
          <w:color w:val="000000"/>
          <w:sz w:val="22"/>
        </w:rPr>
        <w:t xml:space="preserve">Colluding with others to conduct securities or futures transactions with each other at a pre-agreed time, price, and manner;</w:t>
      </w:r>
    </w:p>
    <w:p>
      <w:pPr>
        <w:numPr>
          <w:ilvl w:val="0"/>
          <w:numId w:val="1039"/>
        </w:numPr>
        <w:spacing w:after="120" w:line="312" w:lineRule="auto"/>
      </w:pPr>
      <w:r>
        <w:rPr>
          <w:rFonts w:ascii="DejaVu Serif" w:hAnsi="DejaVu Serif" w:eastAsia="Noto Serif CJK SC"/>
          <w:color w:val="000000"/>
          <w:sz w:val="22"/>
        </w:rPr>
        <w:t xml:space="preserve">Engaging in securities trading between accounts under one’s actual control, or trading futures contracts with oneself as the counterparty, by buying and selling from oneself;</w:t>
      </w:r>
    </w:p>
    <w:p>
      <w:pPr>
        <w:numPr>
          <w:ilvl w:val="0"/>
          <w:numId w:val="1039"/>
        </w:numPr>
        <w:spacing w:after="120" w:line="312" w:lineRule="auto"/>
      </w:pPr>
      <w:r>
        <w:rPr>
          <w:rFonts w:ascii="DejaVu Serif" w:hAnsi="DejaVu Serif" w:eastAsia="Noto Serif CJK SC"/>
          <w:color w:val="000000"/>
          <w:sz w:val="22"/>
        </w:rPr>
        <w:t xml:space="preserve">Frequently or in large quantities placing and then canceling orders to purchase or sell securities or futures contracts for the purpose of not executing a transaction;</w:t>
      </w:r>
    </w:p>
    <w:p>
      <w:pPr>
        <w:numPr>
          <w:ilvl w:val="0"/>
          <w:numId w:val="1039"/>
        </w:numPr>
        <w:spacing w:after="120" w:line="312" w:lineRule="auto"/>
      </w:pPr>
      <w:r>
        <w:rPr>
          <w:rFonts w:ascii="DejaVu Serif" w:hAnsi="DejaVu Serif" w:eastAsia="Noto Serif CJK SC"/>
          <w:color w:val="000000"/>
          <w:sz w:val="22"/>
        </w:rPr>
        <w:t xml:space="preserve">Utilizing false or uncertain material information to induce investors to engage in securities or futures transactions;</w:t>
      </w:r>
    </w:p>
    <w:p>
      <w:pPr>
        <w:numPr>
          <w:ilvl w:val="0"/>
          <w:numId w:val="1039"/>
        </w:numPr>
        <w:spacing w:after="120" w:line="312" w:lineRule="auto"/>
      </w:pPr>
      <w:r>
        <w:rPr>
          <w:rFonts w:ascii="DejaVu Serif" w:hAnsi="DejaVu Serif" w:eastAsia="Noto Serif CJK SC"/>
          <w:color w:val="000000"/>
          <w:sz w:val="22"/>
        </w:rPr>
        <w:t xml:space="preserve">Making public evaluations, forecasts, or investment recommendations concerning securities, securities issuers, or futures trading subjects, while simultaneously engaging in reverse securities transactions or related futures transactions;</w:t>
      </w:r>
    </w:p>
    <w:p>
      <w:pPr>
        <w:numPr>
          <w:ilvl w:val="0"/>
          <w:numId w:val="1039"/>
        </w:numPr>
        <w:spacing w:after="120" w:line="312" w:lineRule="auto"/>
      </w:pPr>
      <w:r>
        <w:rPr>
          <w:rFonts w:ascii="DejaVu Serif" w:hAnsi="DejaVu Serif" w:eastAsia="Noto Serif CJK SC"/>
          <w:color w:val="000000"/>
          <w:sz w:val="22"/>
        </w:rPr>
        <w:t xml:space="preserve">Manipulating the securities or futures markets by other means.</w:t>
      </w:r>
    </w:p>
    <w:p>
      <w:pPr>
        <w:numPr>
          <w:ilvl w:val="0"/>
          <w:numId w:val="1040"/>
        </w:numPr>
        <w:spacing w:after="120" w:line="312" w:lineRule="auto"/>
      </w:pPr>
      <w:r>
        <w:rPr>
          <w:rFonts w:ascii="DejaVu Serif" w:hAnsi="DejaVu Serif" w:eastAsia="Noto Serif CJK SC"/>
          <w:color w:val="000000"/>
          <w:sz w:val="22"/>
        </w:rPr>
        <w:t xml:space="preserve">Commercial banks, stock exchanges, futures exchanges, securities companies, futures brokerage firms, insurance companies, or other financial institutions that breach their fiduciary duties and, without authorization, utilize client funds or other entrusted or trust property, but have not yet reached the standard of seriousness stipulated in the Criminal Code.</w:t>
      </w:r>
    </w:p>
    <w:p>
      <w:pPr>
        <w:numPr>
          <w:ilvl w:val="0"/>
          <w:numId w:val="1040"/>
        </w:numPr>
        <w:spacing w:after="120" w:line="312" w:lineRule="auto"/>
      </w:pPr>
      <w:r>
        <w:rPr>
          <w:rFonts w:ascii="DejaVu Serif" w:hAnsi="DejaVu Serif" w:eastAsia="Noto Serif CJK SC"/>
          <w:color w:val="000000"/>
          <w:sz w:val="22"/>
        </w:rPr>
        <w:t xml:space="preserve">A partner or cooperator of a bank or other financial institution violates state regulations in granting a loan, but has not yet reached the standard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 huge amount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by the Criminal Law or caused major losses.</w:t>
      </w:r>
    </w:p>
    <w:p>
      <w:pPr>
        <w:numPr>
          <w:ilvl w:val="0"/>
          <w:numId w:val="1040"/>
        </w:numPr>
        <w:spacing w:after="120" w:line="312" w:lineRule="auto"/>
      </w:pPr>
      <w:r>
        <w:rPr>
          <w:rFonts w:ascii="DejaVu Serif" w:hAnsi="DejaVu Serif" w:eastAsia="Noto Serif CJK SC"/>
          <w:color w:val="000000"/>
          <w:sz w:val="22"/>
        </w:rPr>
        <w:t xml:space="preserve">Where a partner or cooperator of a bank or other financial institution fails to deposit a client’s funds into the account, but has not yet reached the standard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 huge amount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Code or caused major losses.</w:t>
      </w:r>
    </w:p>
    <w:p>
      <w:pPr>
        <w:numPr>
          <w:ilvl w:val="0"/>
          <w:numId w:val="1040"/>
        </w:numPr>
        <w:spacing w:after="120" w:line="312" w:lineRule="auto"/>
      </w:pPr>
      <w:r>
        <w:rPr>
          <w:rFonts w:ascii="DejaVu Serif" w:hAnsi="DejaVu Serif" w:eastAsia="Noto Serif CJK SC"/>
          <w:color w:val="000000"/>
          <w:sz w:val="22"/>
        </w:rPr>
        <w:t xml:space="preserve">A partner or other collaborator of a bank or other financial institution violates regulations by issuing letters of credit or other guarantees, bills of exchange, certificates of deposit, or credit certificates for others, but has not yet reached the standard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serious circumstances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w:t>
      </w:r>
    </w:p>
    <w:p>
      <w:pPr>
        <w:numPr>
          <w:ilvl w:val="0"/>
          <w:numId w:val="1040"/>
        </w:numPr>
        <w:spacing w:after="120" w:line="312" w:lineRule="auto"/>
      </w:pPr>
      <w:r>
        <w:rPr>
          <w:rFonts w:ascii="DejaVu Serif" w:hAnsi="DejaVu Serif" w:eastAsia="Noto Serif CJK SC"/>
          <w:color w:val="000000"/>
          <w:sz w:val="22"/>
        </w:rPr>
        <w:t xml:space="preserve">A partner or cooperator of a bank or other financial institution, in the course of negotiable instrument business, accepts, pays, or guarantees a negotiable instrument in violation of the provisions of the Negotiable Instruments Law, but has not yet reached the standard stipulated in the Criminal Law for causing significant loss.</w:t>
      </w:r>
    </w:p>
    <w:p>
      <w:pPr>
        <w:numPr>
          <w:ilvl w:val="0"/>
          <w:numId w:val="1040"/>
        </w:numPr>
        <w:spacing w:after="120" w:line="312" w:lineRule="auto"/>
      </w:pPr>
      <w:r>
        <w:rPr>
          <w:rFonts w:ascii="DejaVu Serif" w:hAnsi="DejaVu Serif" w:eastAsia="Noto Serif CJK SC"/>
          <w:color w:val="000000"/>
          <w:sz w:val="22"/>
        </w:rPr>
        <w:t xml:space="preserve">A company, enterprise, or other unit that, in violation of state regulations, unlawfully places foreign currency abroad or illegally transfers domestic foreign currency abroad, but has not yet reached the standard of 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relatively large amount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w:t>
      </w:r>
    </w:p>
    <w:p>
      <w:pPr>
        <w:numPr>
          <w:ilvl w:val="0"/>
          <w:numId w:val="1040"/>
        </w:numPr>
        <w:spacing w:after="120" w:line="312" w:lineRule="auto"/>
      </w:pPr>
      <w:r>
        <w:rPr>
          <w:rFonts w:ascii="DejaVu Serif" w:hAnsi="DejaVu Serif" w:eastAsia="Noto Serif CJK SC"/>
          <w:color w:val="000000"/>
          <w:sz w:val="22"/>
        </w:rPr>
        <w:t xml:space="preserve">For the purpose of illegal possession, using fraudulent methods to raise funds illegally, but not yet reaching the standard of 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relatively large amount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w:t>
      </w:r>
    </w:p>
    <w:p>
      <w:pPr>
        <w:numPr>
          <w:ilvl w:val="0"/>
          <w:numId w:val="1040"/>
        </w:numPr>
        <w:spacing w:after="120" w:line="312" w:lineRule="auto"/>
      </w:pPr>
      <w:r>
        <w:rPr>
          <w:rFonts w:ascii="DejaVu Serif" w:hAnsi="DejaVu Serif" w:eastAsia="Noto Serif CJK SC"/>
          <w:color w:val="000000"/>
          <w:sz w:val="22"/>
        </w:rPr>
        <w:t xml:space="preserve">Where any of the following circumstances exists, a loan is fraudulently obtained from a bank or other financial institution for the purpose of illegal possession, but the amount does not yet reach the standard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relatively large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by the Criminal Law.</w:t>
      </w:r>
    </w:p>
    <w:p>
      <w:pPr>
        <w:numPr>
          <w:ilvl w:val="0"/>
          <w:numId w:val="1041"/>
        </w:numPr>
        <w:spacing w:after="120" w:line="312" w:lineRule="auto"/>
      </w:pPr>
      <w:r>
        <w:rPr>
          <w:rFonts w:ascii="DejaVu Serif" w:hAnsi="DejaVu Serif" w:eastAsia="Noto Serif CJK SC"/>
          <w:color w:val="000000"/>
          <w:sz w:val="22"/>
        </w:rPr>
        <w:t xml:space="preserve">Fabricating false reasons for the introduction of funds, projects, or the like;</w:t>
      </w:r>
    </w:p>
    <w:p>
      <w:pPr>
        <w:numPr>
          <w:ilvl w:val="0"/>
          <w:numId w:val="1041"/>
        </w:numPr>
        <w:spacing w:after="120" w:line="312" w:lineRule="auto"/>
      </w:pPr>
      <w:r>
        <w:rPr>
          <w:rFonts w:ascii="DejaVu Serif" w:hAnsi="DejaVu Serif" w:eastAsia="Noto Serif CJK SC"/>
          <w:color w:val="000000"/>
          <w:sz w:val="22"/>
        </w:rPr>
        <w:t xml:space="preserve">Using false economic contracts;</w:t>
      </w:r>
    </w:p>
    <w:p>
      <w:pPr>
        <w:numPr>
          <w:ilvl w:val="0"/>
          <w:numId w:val="1041"/>
        </w:numPr>
        <w:spacing w:after="120" w:line="312" w:lineRule="auto"/>
      </w:pPr>
      <w:r>
        <w:rPr>
          <w:rFonts w:ascii="DejaVu Serif" w:hAnsi="DejaVu Serif" w:eastAsia="Noto Serif CJK SC"/>
          <w:color w:val="000000"/>
          <w:sz w:val="22"/>
        </w:rPr>
        <w:t xml:space="preserve">Using forged or falsified documents;</w:t>
      </w:r>
    </w:p>
    <w:p>
      <w:pPr>
        <w:numPr>
          <w:ilvl w:val="0"/>
          <w:numId w:val="1041"/>
        </w:numPr>
        <w:spacing w:after="120" w:line="312" w:lineRule="auto"/>
      </w:pPr>
      <w:r>
        <w:rPr>
          <w:rFonts w:ascii="DejaVu Serif" w:hAnsi="DejaVu Serif" w:eastAsia="Noto Serif CJK SC"/>
          <w:color w:val="000000"/>
          <w:sz w:val="22"/>
        </w:rPr>
        <w:t xml:space="preserve">Using false property rights certificates as security or providing repeated security exceeding the value of the collateral;</w:t>
      </w:r>
    </w:p>
    <w:p>
      <w:pPr>
        <w:numPr>
          <w:ilvl w:val="0"/>
          <w:numId w:val="1041"/>
        </w:numPr>
        <w:spacing w:after="120" w:line="312" w:lineRule="auto"/>
      </w:pPr>
      <w:r>
        <w:rPr>
          <w:rFonts w:ascii="DejaVu Serif" w:hAnsi="DejaVu Serif" w:eastAsia="Noto Serif CJK SC"/>
          <w:color w:val="000000"/>
          <w:sz w:val="22"/>
        </w:rPr>
        <w:t xml:space="preserve">To defraud loans by other means.</w:t>
      </w:r>
    </w:p>
    <w:p>
      <w:pPr>
        <w:numPr>
          <w:ilvl w:val="0"/>
          <w:numId w:val="1042"/>
        </w:numPr>
        <w:spacing w:after="120" w:line="312" w:lineRule="auto"/>
      </w:pPr>
      <w:r>
        <w:rPr>
          <w:rFonts w:ascii="DejaVu Serif" w:hAnsi="DejaVu Serif" w:eastAsia="Noto Serif CJK SC"/>
          <w:color w:val="000000"/>
          <w:sz w:val="22"/>
        </w:rPr>
        <w:t xml:space="preserve">Where any of the following circumstances exist, financial instrument fraud is committed using forged or altered collection receipts, remittance vouchers, bank deposit slips, or other bank settlement instruments, or any other relevant instruments, but the amount has not yet reached the standard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relatively large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w:t>
      </w:r>
    </w:p>
    <w:p>
      <w:pPr>
        <w:numPr>
          <w:ilvl w:val="0"/>
          <w:numId w:val="1042"/>
        </w:numPr>
        <w:spacing w:after="120" w:line="312" w:lineRule="auto"/>
      </w:pPr>
      <w:r>
        <w:rPr>
          <w:rFonts w:ascii="DejaVu Serif" w:hAnsi="DejaVu Serif" w:eastAsia="Noto Serif CJK SC"/>
          <w:color w:val="000000"/>
          <w:sz w:val="22"/>
        </w:rPr>
        <w:t xml:space="preserve">Where any of the following circumstances exists, credit card fraud activities are conducted, but have not yet reached the standard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relatively large amount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stipulated in the Criminal Law, or do not fully possess the elements as described below:</w:t>
      </w:r>
    </w:p>
    <w:p>
      <w:pPr>
        <w:numPr>
          <w:ilvl w:val="0"/>
          <w:numId w:val="1043"/>
        </w:numPr>
        <w:spacing w:after="120" w:line="312" w:lineRule="auto"/>
      </w:pPr>
      <w:r>
        <w:rPr>
          <w:rFonts w:ascii="DejaVu Serif" w:hAnsi="DejaVu Serif" w:eastAsia="Noto Serif CJK SC"/>
          <w:color w:val="000000"/>
          <w:sz w:val="22"/>
        </w:rPr>
        <w:t xml:space="preserve">Using a counterfeit credit card, or using a credit card obtained by fraudulently providing false identification;</w:t>
      </w:r>
    </w:p>
    <w:p>
      <w:pPr>
        <w:numPr>
          <w:ilvl w:val="0"/>
          <w:numId w:val="1043"/>
        </w:numPr>
        <w:spacing w:after="120" w:line="312" w:lineRule="auto"/>
      </w:pPr>
      <w:r>
        <w:rPr>
          <w:rFonts w:ascii="DejaVu Serif" w:hAnsi="DejaVu Serif" w:eastAsia="Noto Serif CJK SC"/>
          <w:color w:val="000000"/>
          <w:sz w:val="22"/>
        </w:rPr>
        <w:t xml:space="preserve">Using an expired credit card;</w:t>
      </w:r>
    </w:p>
    <w:p>
      <w:pPr>
        <w:numPr>
          <w:ilvl w:val="0"/>
          <w:numId w:val="1043"/>
        </w:numPr>
        <w:spacing w:after="120" w:line="312" w:lineRule="auto"/>
      </w:pPr>
      <w:r>
        <w:rPr>
          <w:rFonts w:ascii="DejaVu Serif" w:hAnsi="DejaVu Serif" w:eastAsia="Noto Serif CJK SC"/>
          <w:color w:val="000000"/>
          <w:sz w:val="22"/>
        </w:rPr>
        <w:t xml:space="preserve">Misappropriating another person’s credit card;</w:t>
      </w:r>
    </w:p>
    <w:p>
      <w:pPr>
        <w:numPr>
          <w:ilvl w:val="0"/>
          <w:numId w:val="1043"/>
        </w:numPr>
        <w:spacing w:after="120" w:line="312" w:lineRule="auto"/>
      </w:pPr>
      <w:r>
        <w:rPr>
          <w:rFonts w:ascii="DejaVu Serif" w:hAnsi="DejaVu Serif" w:eastAsia="Noto Serif CJK SC"/>
          <w:color w:val="000000"/>
          <w:sz w:val="22"/>
        </w:rPr>
        <w:t xml:space="preserve">Malicious overdraft 9.</w:t>
      </w:r>
    </w:p>
    <w:p>
      <w:pPr>
        <w:pStyle w:val="Compact"/>
        <w:numPr>
          <w:ilvl w:val="0"/>
          <w:numId w:val="1044"/>
        </w:numPr>
        <w:spacing w:after="120" w:line="312" w:lineRule="auto"/>
      </w:pPr>
      <w:r>
        <w:rPr>
          <w:rFonts w:ascii="DejaVu Serif" w:hAnsi="DejaVu Serif" w:eastAsia="Noto Serif CJK SC"/>
          <w:color w:val="000000"/>
          <w:sz w:val="22"/>
        </w:rPr>
        <w:t xml:space="preserve">To use forged or altered treasury bonds or other securities issued by the State to conduct fraudulent activities,</w:t>
      </w:r>
    </w:p>
    <w:p>
      <w:pPr>
        <w:pStyle w:val="FirstParagraph"/>
        <w:spacing w:after="120" w:line="312" w:lineRule="auto"/>
      </w:pPr>
      <w:r>
        <w:rPr>
          <w:rFonts w:ascii="DejaVu Serif" w:hAnsi="DejaVu Serif" w:eastAsia="Noto Serif CJK SC"/>
          <w:color w:val="000000"/>
          <w:sz w:val="22"/>
        </w:rPr>
        <w:t xml:space="preserve">but has not yet reached the standard of 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relatively large amount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Code.</w:t>
      </w:r>
    </w:p>
    <w:p>
      <w:pPr>
        <w:pStyle w:val="Compact"/>
        <w:numPr>
          <w:ilvl w:val="0"/>
          <w:numId w:val="1045"/>
        </w:numPr>
        <w:spacing w:after="120" w:line="312" w:lineRule="auto"/>
      </w:pPr>
      <w:r>
        <w:rPr>
          <w:rFonts w:ascii="DejaVu Serif" w:hAnsi="DejaVu Serif" w:eastAsia="Noto Serif CJK SC"/>
          <w:color w:val="000000"/>
          <w:sz w:val="22"/>
        </w:rPr>
        <w:t xml:space="preserve">Where any of the following circumstances exists, insurance fraud activities are conducted, but the standard of 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relatively large amount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by the Criminal Law has not yet been reached.</w:t>
      </w:r>
    </w:p>
    <w:p>
      <w:pPr>
        <w:numPr>
          <w:ilvl w:val="0"/>
          <w:numId w:val="1046"/>
        </w:numPr>
        <w:spacing w:after="120" w:line="312" w:lineRule="auto"/>
      </w:pPr>
      <w:r>
        <w:rPr>
          <w:rFonts w:ascii="DejaVu Serif" w:hAnsi="DejaVu Serif" w:eastAsia="Noto Serif CJK SC"/>
          <w:color w:val="000000"/>
          <w:sz w:val="22"/>
        </w:rPr>
        <w:t xml:space="preserve">Where the insured intentionally falsifies the subject matter of the insurance to defraud the insurance payout;</w:t>
      </w:r>
    </w:p>
    <w:p>
      <w:pPr>
        <w:numPr>
          <w:ilvl w:val="0"/>
          <w:numId w:val="1046"/>
        </w:numPr>
        <w:spacing w:after="120" w:line="312" w:lineRule="auto"/>
      </w:pPr>
      <w:r>
        <w:rPr>
          <w:rFonts w:ascii="DejaVu Serif" w:hAnsi="DejaVu Serif" w:eastAsia="Noto Serif CJK SC"/>
          <w:color w:val="000000"/>
          <w:sz w:val="22"/>
        </w:rPr>
        <w:t xml:space="preserve">Where the policyholder, the insured, or the beneficiary fabricates false causes for an insured incident or exaggerates the extent of the loss to defraud the insurance payout;</w:t>
      </w:r>
    </w:p>
    <w:p>
      <w:pPr>
        <w:numPr>
          <w:ilvl w:val="0"/>
          <w:numId w:val="1046"/>
        </w:numPr>
        <w:spacing w:after="120" w:line="312" w:lineRule="auto"/>
      </w:pPr>
      <w:r>
        <w:rPr>
          <w:rFonts w:ascii="DejaVu Serif" w:hAnsi="DejaVu Serif" w:eastAsia="Noto Serif CJK SC"/>
          <w:color w:val="000000"/>
          <w:sz w:val="22"/>
        </w:rPr>
        <w:t xml:space="preserve">Where the policyholder, the insured, or the beneficiary fabricates an insurance accident that has not occurred, in order to defraud the insurance payment;</w:t>
      </w:r>
    </w:p>
    <w:p>
      <w:pPr>
        <w:numPr>
          <w:ilvl w:val="0"/>
          <w:numId w:val="1046"/>
        </w:numPr>
        <w:spacing w:after="120" w:line="312" w:lineRule="auto"/>
      </w:pPr>
      <w:r>
        <w:rPr>
          <w:rFonts w:ascii="DejaVu Serif" w:hAnsi="DejaVu Serif" w:eastAsia="Noto Serif CJK SC"/>
          <w:color w:val="000000"/>
          <w:sz w:val="22"/>
        </w:rPr>
        <w:t xml:space="preserve">Where the policyholder or the insured intentionally causes property loss by creating an insured accident to defraud the insurance payout;</w:t>
      </w:r>
    </w:p>
    <w:p>
      <w:pPr>
        <w:numPr>
          <w:ilvl w:val="0"/>
          <w:numId w:val="1046"/>
        </w:numPr>
        <w:spacing w:after="120" w:line="312" w:lineRule="auto"/>
      </w:pPr>
      <w:r>
        <w:rPr>
          <w:rFonts w:ascii="DejaVu Serif" w:hAnsi="DejaVu Serif" w:eastAsia="Noto Serif CJK SC"/>
          <w:color w:val="000000"/>
          <w:sz w:val="22"/>
        </w:rPr>
        <w:t xml:space="preserve">Where the policyholder or the beneficiary intentionally causes the death, injury, or illness of the insured person to defraud the insurance benefits.</w:t>
      </w:r>
    </w:p>
    <w:p>
      <w:pPr>
        <w:pStyle w:val="FirstParagraph"/>
        <w:spacing w:after="120" w:line="312" w:lineRule="auto"/>
      </w:pPr>
      <w:r>
        <w:rPr>
          <w:rFonts w:ascii="DejaVu Serif" w:hAnsi="DejaVu Serif" w:eastAsia="Noto Serif CJK SC"/>
          <w:color w:val="000000"/>
          <w:sz w:val="22"/>
        </w:rPr>
        <w:t xml:space="preserve">Refers to the principal amount involved of 50,000 yuan or more (excluding interest, compound interest, late fees, handling fees, and other charges collected by the issuing bank).</w:t>
      </w:r>
    </w:p>
    <w:p>
      <w:pPr>
        <w:pStyle w:val="BodyText"/>
        <w:spacing w:after="120" w:line="312" w:lineRule="auto"/>
      </w:pPr>
      <w:r>
        <w:rPr>
          <w:rFonts w:ascii="DejaVu Serif" w:hAnsi="DejaVu Serif" w:eastAsia="Noto Serif CJK SC"/>
          <w:color w:val="000000"/>
          <w:sz w:val="22"/>
        </w:rPr>
        <w:t xml:space="preserve">The amount repaid or paid shall be deemed as the repayment of the actual overdrawn principal.)</w:t>
      </w:r>
    </w:p>
    <w:p>
      <w:pPr>
        <w:pStyle w:val="BodyText"/>
        <w:spacing w:after="120" w:line="312" w:lineRule="auto"/>
      </w:pPr>
      <w:r>
        <w:rPr>
          <w:rFonts w:ascii="DejaVu Serif" w:hAnsi="DejaVu Serif" w:eastAsia="Noto Serif CJK SC"/>
          <w:color w:val="000000"/>
          <w:sz w:val="22"/>
        </w:rPr>
        <w:t xml:space="preserve">A cardholder who, with the intent of illegal possession, exceeds the prescribed limit or period for an overdraft, and after two effective collections by the issuing bank, still fails to repay after three months, shall be deemed to constitute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malicious overdraft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Article 196 of the Criminal Law.</w:t>
      </w:r>
    </w:p>
    <w:p>
      <w:pPr>
        <w:pStyle w:val="BodyText"/>
        <w:spacing w:after="120" w:line="312" w:lineRule="auto"/>
      </w:pPr>
      <w:r>
        <w:rPr>
          <w:rFonts w:ascii="DejaVu Serif" w:hAnsi="DejaVu Serif" w:eastAsia="Noto Serif CJK SC"/>
          <w:color w:val="000000"/>
          <w:sz w:val="22"/>
        </w:rPr>
        <w:t xml:space="preserve">Whether the purpose is illegal possession shall be determined based on a comprehensive assessment of the circumstances, including the cardholder’s credit history, repayment ability and willingness, the status of the credit card application and overdraft, the use of the overdrafted funds, the cardholder’s conduct after the overdraft, and the reasons for non-compliance with repayment requirements. The fact that a cardholder has failed to make repayment as required shall not, by itself, be used to establish the purpose of illegal possession.</w:t>
      </w:r>
    </w:p>
    <w:p>
      <w:pPr>
        <w:pStyle w:val="BodyText"/>
        <w:spacing w:after="120" w:line="312" w:lineRule="auto"/>
      </w:pPr>
      <w:r>
        <w:rPr>
          <w:rFonts w:ascii="DejaVu Serif" w:hAnsi="DejaVu Serif" w:eastAsia="Noto Serif CJK SC"/>
          <w:color w:val="000000"/>
          <w:sz w:val="22"/>
        </w:rPr>
        <w:t xml:space="preserve">“</w:t>
      </w:r>
      <w:r>
        <w:rPr>
          <w:rFonts w:ascii="DejaVu Serif" w:hAnsi="DejaVu Serif" w:eastAsia="Noto Serif CJK SC"/>
          <w:color w:val="000000"/>
          <w:sz w:val="22"/>
        </w:rPr>
        <w:t xml:space="preserve">Where collection simultaneously meets all of the following conditions, it shall be deemed as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effective collection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Article 6 of this Interpretation:</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w:t>
      </w:r>
      <w:r>
        <w:rPr>
          <w:rFonts w:ascii="DejaVu Serif" w:hAnsi="DejaVu Serif" w:eastAsia="Noto Serif CJK SC"/>
          <w:color w:val="000000"/>
          <w:sz w:val="22"/>
        </w:rPr>
        <w:t xml:space="preserve">(1) After exceeding the stipulated limit or stipulated period;</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w:t>
      </w:r>
      <w:r>
        <w:rPr>
          <w:rFonts w:ascii="DejaVu Serif" w:hAnsi="DejaVu Serif" w:eastAsia="Noto Serif CJK SC"/>
          <w:color w:val="000000"/>
          <w:sz w:val="22"/>
        </w:rPr>
        <w:t xml:space="preserve">(2) Collection shall be conducted by means that can confirm the cardholder’s receipt thereof, except where the cardholder intentionally evades collection;</w:t>
      </w:r>
      <w:r>
        <w:rPr>
          <w:rFonts w:ascii="DejaVu Serif" w:hAnsi="DejaVu Serif" w:eastAsia="Noto Serif CJK SC"/>
          <w:color w:val="000000"/>
          <w:sz w:val="22"/>
        </w:rPr>
        <w:t xml:space="preserve">”</w:t>
      </w:r>
    </w:p>
    <w:p>
      <w:pPr>
        <w:pStyle w:val="Compact"/>
        <w:numPr>
          <w:ilvl w:val="0"/>
          <w:numId w:val="1047"/>
        </w:numPr>
        <w:spacing w:after="120" w:line="312" w:lineRule="auto"/>
      </w:pPr>
      <w:r>
        <w:rPr>
          <w:rFonts w:ascii="DejaVu Serif" w:hAnsi="DejaVu Serif" w:eastAsia="Noto Serif CJK SC"/>
          <w:color w:val="000000"/>
          <w:sz w:val="22"/>
        </w:rPr>
        <w:t xml:space="preserve">There shall be an interval of at least thirty days between two collection notices;</w:t>
      </w:r>
    </w:p>
    <w:p>
      <w:pPr>
        <w:pStyle w:val="FirstParagraph"/>
        <w:spacing w:after="120" w:line="312" w:lineRule="auto"/>
      </w:pPr>
      <w:r>
        <w:rPr>
          <w:rFonts w:ascii="DejaVu Serif" w:hAnsi="DejaVu Serif" w:eastAsia="Noto Serif CJK SC"/>
          <w:color w:val="000000"/>
          <w:sz w:val="22"/>
        </w:rPr>
        <w:t xml:space="preserve">“</w:t>
      </w:r>
      <w:r>
        <w:rPr>
          <w:rFonts w:ascii="DejaVu Serif" w:hAnsi="DejaVu Serif" w:eastAsia="Noto Serif CJK SC"/>
          <w:color w:val="000000"/>
          <w:sz w:val="22"/>
        </w:rPr>
        <w:t xml:space="preserve">(4) Complies with the relevant provisions or agreements for collection.</w:t>
      </w:r>
      <w:r>
        <w:rPr>
          <w:rFonts w:ascii="DejaVu Serif" w:hAnsi="DejaVu Serif" w:eastAsia="Noto Serif CJK SC"/>
          <w:color w:val="000000"/>
          <w:sz w:val="22"/>
        </w:rPr>
        <w:t xml:space="preserve">”</w:t>
      </w:r>
    </w:p>
    <w:p>
      <w:pPr>
        <w:pStyle w:val="Compact"/>
        <w:numPr>
          <w:ilvl w:val="0"/>
          <w:numId w:val="1048"/>
        </w:numPr>
        <w:spacing w:after="120" w:line="312" w:lineRule="auto"/>
      </w:pPr>
      <w:r>
        <w:rPr>
          <w:rFonts w:ascii="DejaVu Serif" w:hAnsi="DejaVu Serif" w:eastAsia="Noto Serif CJK SC"/>
          <w:color w:val="000000"/>
          <w:sz w:val="22"/>
        </w:rPr>
        <w:t xml:space="preserve">A taxpayer, by means of deception or concealment, makes a false tax declaration or fails to declare, in order to evade the payment of tax, but</w:t>
      </w:r>
    </w:p>
    <w:p>
      <w:pPr>
        <w:numPr>
          <w:ilvl w:val="0"/>
          <w:numId w:val="1049"/>
        </w:numPr>
        <w:spacing w:after="120" w:line="312" w:lineRule="auto"/>
      </w:pPr>
      <w:r>
        <w:rPr>
          <w:rFonts w:ascii="DejaVu Serif" w:hAnsi="DejaVu Serif" w:eastAsia="Noto Serif CJK SC"/>
          <w:color w:val="000000"/>
          <w:sz w:val="22"/>
        </w:rPr>
        <w:t xml:space="preserve">Where the amount has not yet reached the standard for 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relatively large amount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by the Criminal Law.</w:t>
      </w:r>
    </w:p>
    <w:p>
      <w:pPr>
        <w:numPr>
          <w:ilvl w:val="0"/>
          <w:numId w:val="1049"/>
        </w:numPr>
        <w:spacing w:after="120" w:line="312" w:lineRule="auto"/>
      </w:pPr>
      <w:r>
        <w:rPr>
          <w:rFonts w:ascii="DejaVu Serif" w:hAnsi="DejaVu Serif" w:eastAsia="Noto Serif CJK SC"/>
          <w:color w:val="000000"/>
          <w:sz w:val="22"/>
        </w:rPr>
        <w:t xml:space="preserve">Although the above standards are met, the amount constitutes less than ten percent (excluding 10%) of the tax payable.</w:t>
      </w:r>
    </w:p>
    <w:p>
      <w:pPr>
        <w:numPr>
          <w:ilvl w:val="0"/>
          <w:numId w:val="1049"/>
        </w:numPr>
        <w:spacing w:after="120" w:line="312" w:lineRule="auto"/>
      </w:pPr>
      <w:r>
        <w:rPr>
          <w:rFonts w:ascii="DejaVu Serif" w:hAnsi="DejaVu Serif" w:eastAsia="Noto Serif CJK SC"/>
          <w:color w:val="000000"/>
          <w:sz w:val="22"/>
        </w:rPr>
        <w:t xml:space="preserve">Where the withholding agent adopts the means listed in the preceding paragraph and fails to pay or underpays the withheld or collected tax, but the amount has not yet reached the standard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relatively large amount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w:t>
      </w:r>
    </w:p>
    <w:p>
      <w:pPr>
        <w:numPr>
          <w:ilvl w:val="0"/>
          <w:numId w:val="1050"/>
        </w:numPr>
        <w:spacing w:after="120" w:line="312" w:lineRule="auto"/>
      </w:pPr>
      <w:r>
        <w:rPr>
          <w:rFonts w:ascii="DejaVu Serif" w:hAnsi="DejaVu Serif" w:eastAsia="Noto Serif CJK SC"/>
          <w:color w:val="000000"/>
          <w:sz w:val="22"/>
        </w:rPr>
        <w:t xml:space="preserve">Where a taxpayer fails to pay the tax payable, adopts means of transferring or concealing property, causing the tax authority to be unable to recover the unpaid tax, and the amount is less than ten thousand yuan.</w:t>
      </w:r>
    </w:p>
    <w:p>
      <w:pPr>
        <w:numPr>
          <w:ilvl w:val="0"/>
          <w:numId w:val="1050"/>
        </w:numPr>
        <w:spacing w:after="120" w:line="312" w:lineRule="auto"/>
      </w:pPr>
      <w:r>
        <w:rPr>
          <w:rFonts w:ascii="DejaVu Serif" w:hAnsi="DejaVu Serif" w:eastAsia="Noto Serif CJK SC"/>
          <w:color w:val="000000"/>
          <w:sz w:val="22"/>
        </w:rPr>
        <w:t xml:space="preserve">Where an actor, by means of false declaration of export or other deceptive means, defrauds the state of export tax rebates, but the amount has not yet reached the standard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relatively large amount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w:t>
      </w:r>
    </w:p>
    <w:p>
      <w:pPr>
        <w:numPr>
          <w:ilvl w:val="0"/>
          <w:numId w:val="1050"/>
        </w:numPr>
        <w:spacing w:after="120" w:line="312" w:lineRule="auto"/>
      </w:pPr>
      <w:r>
        <w:rPr>
          <w:rFonts w:ascii="DejaVu Serif" w:hAnsi="DejaVu Serif" w:eastAsia="Noto Serif CJK SC"/>
          <w:color w:val="000000"/>
          <w:sz w:val="22"/>
        </w:rPr>
        <w:t xml:space="preserve">Possessing a forged invoice without knowledge of its forgery</w:t>
      </w:r>
    </w:p>
    <w:p>
      <w:pPr>
        <w:numPr>
          <w:ilvl w:val="0"/>
          <w:numId w:val="1050"/>
        </w:numPr>
        <w:spacing w:after="120" w:line="312" w:lineRule="auto"/>
      </w:pPr>
      <w:r>
        <w:rPr>
          <w:rFonts w:ascii="DejaVu Serif" w:hAnsi="DejaVu Serif" w:eastAsia="Noto Serif CJK SC"/>
          <w:color w:val="000000"/>
          <w:sz w:val="22"/>
        </w:rPr>
        <w:t xml:space="preserve">Possessing a forged invoice with knowledge of its forgery, but the quantity has not yet reached the standard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relatively large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w:t>
      </w:r>
    </w:p>
    <w:p>
      <w:pPr>
        <w:numPr>
          <w:ilvl w:val="0"/>
          <w:numId w:val="1050"/>
        </w:numPr>
        <w:spacing w:after="120" w:line="312" w:lineRule="auto"/>
      </w:pPr>
      <w:r>
        <w:rPr>
          <w:rFonts w:ascii="DejaVu Serif" w:hAnsi="DejaVu Serif" w:eastAsia="Noto Serif CJK SC"/>
          <w:color w:val="000000"/>
          <w:sz w:val="22"/>
        </w:rPr>
        <w:t xml:space="preserve">Using, without the permission of the registered trademark owner, an identical trademark on the same kind of goods or services, but the circumstances have not yet reached the standard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serious circumstances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w:t>
      </w:r>
    </w:p>
    <w:p>
      <w:pPr>
        <w:numPr>
          <w:ilvl w:val="0"/>
          <w:numId w:val="1050"/>
        </w:numPr>
        <w:spacing w:after="120" w:line="312" w:lineRule="auto"/>
      </w:pPr>
      <w:r>
        <w:rPr>
          <w:rFonts w:ascii="DejaVu Serif" w:hAnsi="DejaVu Serif" w:eastAsia="Noto Serif CJK SC"/>
          <w:color w:val="000000"/>
          <w:sz w:val="22"/>
        </w:rPr>
        <w:t xml:space="preserve">Selling goods bearing a counterfeit registered trademark, but under the following circumstances:</w:t>
      </w:r>
    </w:p>
    <w:p>
      <w:pPr>
        <w:numPr>
          <w:ilvl w:val="0"/>
          <w:numId w:val="1051"/>
        </w:numPr>
        <w:spacing w:after="120" w:line="312" w:lineRule="auto"/>
      </w:pPr>
      <w:r>
        <w:rPr>
          <w:rFonts w:ascii="DejaVu Serif" w:hAnsi="DejaVu Serif" w:eastAsia="Noto Serif CJK SC"/>
          <w:color w:val="000000"/>
          <w:sz w:val="22"/>
        </w:rPr>
        <w:t xml:space="preserve">Being unaware that the goods bear a counterfeit registered trademark;</w:t>
      </w:r>
    </w:p>
    <w:p>
      <w:pPr>
        <w:numPr>
          <w:ilvl w:val="0"/>
          <w:numId w:val="1051"/>
        </w:numPr>
        <w:spacing w:after="120" w:line="312" w:lineRule="auto"/>
      </w:pPr>
      <w:r>
        <w:rPr>
          <w:rFonts w:ascii="DejaVu Serif" w:hAnsi="DejaVu Serif" w:eastAsia="Noto Serif CJK SC"/>
          <w:color w:val="000000"/>
          <w:sz w:val="22"/>
        </w:rPr>
        <w:t xml:space="preserve">The illegal gains have not yet reached the standard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relatively large amount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w:t>
      </w:r>
    </w:p>
    <w:p>
      <w:pPr>
        <w:numPr>
          <w:ilvl w:val="0"/>
          <w:numId w:val="1051"/>
        </w:numPr>
        <w:spacing w:after="120" w:line="312" w:lineRule="auto"/>
      </w:pPr>
      <w:r>
        <w:rPr>
          <w:rFonts w:ascii="DejaVu Serif" w:hAnsi="DejaVu Serif" w:eastAsia="Noto Serif CJK SC"/>
          <w:color w:val="000000"/>
          <w:sz w:val="22"/>
        </w:rPr>
        <w:t xml:space="preserve">In cases where other serious circumstances as stipulated by criminal law have not yet been reached;</w:t>
      </w:r>
    </w:p>
    <w:p>
      <w:pPr>
        <w:pStyle w:val="Compact"/>
        <w:numPr>
          <w:ilvl w:val="0"/>
          <w:numId w:val="1052"/>
        </w:numPr>
        <w:spacing w:after="120" w:line="312" w:lineRule="auto"/>
      </w:pPr>
      <w:r>
        <w:rPr>
          <w:rFonts w:ascii="DejaVu Serif" w:hAnsi="DejaVu Serif" w:eastAsia="Noto Serif CJK SC"/>
          <w:color w:val="000000"/>
          <w:sz w:val="22"/>
        </w:rPr>
        <w:t xml:space="preserve">The counterfeiting or unauthorized manufacture of another’s registered trademark标识, or the sale of such counterfeited or unauthorizedly manufactured registered trademark标识, where the circumstances have not yet reached the standard of being</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serious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w:t>
      </w:r>
      <w:r>
        <w:rPr>
          <w:rFonts w:ascii="DejaVu Serif" w:hAnsi="DejaVu Serif" w:eastAsia="Noto Serif CJK SC"/>
          <w:color w:val="000000"/>
          <w:sz w:val="22"/>
        </w:rPr>
        <w:br/>
      </w:r>
    </w:p>
    <w:p>
      <w:pPr>
        <w:pStyle w:val="Compact"/>
        <w:numPr>
          <w:ilvl w:val="0"/>
          <w:numId w:val="1052"/>
        </w:numPr>
        <w:spacing w:after="120" w:line="312" w:lineRule="auto"/>
      </w:pPr>
      <w:r>
        <w:rPr>
          <w:rFonts w:ascii="DejaVu Serif" w:hAnsi="DejaVu Serif" w:eastAsia="Noto Serif CJK SC"/>
          <w:color w:val="000000"/>
          <w:sz w:val="22"/>
        </w:rPr>
        <w:t xml:space="preserve">The infringement of another’s patent, where the circumstances have not yet reached the standard of being</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serious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w:t>
      </w:r>
      <w:r>
        <w:rPr>
          <w:rFonts w:ascii="DejaVu Serif" w:hAnsi="DejaVu Serif" w:eastAsia="Noto Serif CJK SC"/>
          <w:color w:val="000000"/>
          <w:sz w:val="22"/>
        </w:rPr>
        <w:br/>
      </w:r>
    </w:p>
    <w:p>
      <w:pPr>
        <w:pStyle w:val="Compact"/>
        <w:numPr>
          <w:ilvl w:val="0"/>
          <w:numId w:val="1052"/>
        </w:numPr>
        <w:spacing w:after="120" w:line="312" w:lineRule="auto"/>
      </w:pPr>
      <w:r>
        <w:rPr>
          <w:rFonts w:ascii="DejaVu Serif" w:hAnsi="DejaVu Serif" w:eastAsia="Noto Serif CJK SC"/>
          <w:color w:val="000000"/>
          <w:sz w:val="22"/>
        </w:rPr>
        <w:t xml:space="preserve">For the purpose of profit, the infringement of copyright or rights related to copyright, where it falls under one of the following circumstances:</w:t>
      </w:r>
    </w:p>
    <w:p>
      <w:pPr>
        <w:numPr>
          <w:ilvl w:val="0"/>
          <w:numId w:val="1053"/>
        </w:numPr>
        <w:spacing w:after="120" w:line="312" w:lineRule="auto"/>
      </w:pPr>
      <w:r>
        <w:rPr>
          <w:rFonts w:ascii="DejaVu Serif" w:hAnsi="DejaVu Serif" w:eastAsia="Noto Serif CJK SC"/>
          <w:color w:val="000000"/>
          <w:sz w:val="22"/>
        </w:rPr>
        <w:t xml:space="preserve">Not having the circumstance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relatively large amount of illegal gains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w:t>
      </w:r>
    </w:p>
    <w:p>
      <w:pPr>
        <w:numPr>
          <w:ilvl w:val="0"/>
          <w:numId w:val="1053"/>
        </w:numPr>
        <w:spacing w:after="120" w:line="312" w:lineRule="auto"/>
      </w:pPr>
      <w:r>
        <w:rPr>
          <w:rFonts w:ascii="DejaVu Serif" w:hAnsi="DejaVu Serif" w:eastAsia="Noto Serif CJK SC"/>
          <w:color w:val="000000"/>
          <w:sz w:val="22"/>
        </w:rPr>
        <w:t xml:space="preserve">For the events referred to in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other serious circumstances as stipulated in criminal law,</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54. For the purpose of profit, selling knowingly infringing copies as stipulated in Article 217 of this Law, but falling under any of the following circumstances:</w:t>
      </w:r>
    </w:p>
    <w:p>
      <w:pPr>
        <w:numPr>
          <w:ilvl w:val="0"/>
          <w:numId w:val="1053"/>
        </w:numPr>
        <w:spacing w:after="120" w:line="312" w:lineRule="auto"/>
      </w:pPr>
      <w:r>
        <w:rPr>
          <w:rFonts w:ascii="DejaVu Serif" w:hAnsi="DejaVu Serif" w:eastAsia="Noto Serif CJK SC"/>
          <w:color w:val="000000"/>
          <w:sz w:val="22"/>
        </w:rPr>
        <w:t xml:space="preserve">Not having the circumstance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huge amount of illegal gains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w:t>
      </w:r>
    </w:p>
    <w:p>
      <w:pPr>
        <w:numPr>
          <w:ilvl w:val="0"/>
          <w:numId w:val="1053"/>
        </w:numPr>
        <w:spacing w:after="120" w:line="312" w:lineRule="auto"/>
      </w:pPr>
      <w:r>
        <w:rPr>
          <w:rFonts w:ascii="DejaVu Serif" w:hAnsi="DejaVu Serif" w:eastAsia="Noto Serif CJK SC"/>
          <w:color w:val="000000"/>
          <w:sz w:val="22"/>
        </w:rPr>
        <w:t xml:space="preserve">Not having the circumstances of other serious circumstances as stipulated in the Criminal Law.</w:t>
      </w:r>
    </w:p>
    <w:p>
      <w:pPr>
        <w:numPr>
          <w:ilvl w:val="0"/>
          <w:numId w:val="1054"/>
        </w:numPr>
        <w:spacing w:after="120" w:line="312" w:lineRule="auto"/>
      </w:pPr>
      <w:r>
        <w:rPr>
          <w:rFonts w:ascii="DejaVu Serif" w:hAnsi="DejaVu Serif" w:eastAsia="Noto Serif CJK SC"/>
          <w:color w:val="000000"/>
          <w:sz w:val="22"/>
        </w:rPr>
        <w:t xml:space="preserve">To have any of the following acts of infringement of commercial secrets, but not having the circumstances of being serious as stipulated in the Criminal Law.</w:t>
      </w:r>
    </w:p>
    <w:p>
      <w:pPr>
        <w:numPr>
          <w:ilvl w:val="0"/>
          <w:numId w:val="1054"/>
        </w:numPr>
        <w:spacing w:after="120" w:line="312" w:lineRule="auto"/>
      </w:pPr>
      <w:r>
        <w:rPr>
          <w:rFonts w:ascii="DejaVu Serif" w:hAnsi="DejaVu Serif" w:eastAsia="Noto Serif CJK SC"/>
          <w:color w:val="000000"/>
          <w:sz w:val="22"/>
        </w:rPr>
        <w:t xml:space="preserve">To fabricate and disseminate false facts, damaging the commercial reputation or product reputation of others, but without having caused major losses to others or having other serious circumstances.</w:t>
      </w:r>
    </w:p>
    <w:p>
      <w:pPr>
        <w:numPr>
          <w:ilvl w:val="0"/>
          <w:numId w:val="1054"/>
        </w:numPr>
        <w:spacing w:after="120" w:line="312" w:lineRule="auto"/>
      </w:pPr>
      <w:r>
        <w:rPr>
          <w:rFonts w:ascii="DejaVu Serif" w:hAnsi="DejaVu Serif" w:eastAsia="Noto Serif CJK SC"/>
          <w:color w:val="000000"/>
          <w:sz w:val="22"/>
        </w:rPr>
        <w:t xml:space="preserve">Where the advertiser, advertising operator, or advertising publisher violates state regulations and uses advertisements to make false publicity about goods or services, but does not have the circumstances of being serious as stipulated in the Criminal Law.</w:t>
      </w:r>
    </w:p>
    <w:p>
      <w:pPr>
        <w:numPr>
          <w:ilvl w:val="0"/>
          <w:numId w:val="1054"/>
        </w:numPr>
        <w:spacing w:after="120" w:line="312" w:lineRule="auto"/>
      </w:pPr>
      <w:r>
        <w:rPr>
          <w:rFonts w:ascii="DejaVu Serif" w:hAnsi="DejaVu Serif" w:eastAsia="Noto Serif CJK SC"/>
          <w:color w:val="000000"/>
          <w:sz w:val="22"/>
        </w:rPr>
        <w:t xml:space="preserve">Where bidders collude with each other in bidding quotations, harming the lawful interests of the tenderer, the state, collectives, citizens, or the interests of other bidders, but does not have the circumstances of being serious as stipulated in the Criminal Law.</w:t>
      </w:r>
    </w:p>
    <w:p>
      <w:pPr>
        <w:numPr>
          <w:ilvl w:val="0"/>
          <w:numId w:val="1054"/>
        </w:numPr>
        <w:spacing w:after="120" w:line="312" w:lineRule="auto"/>
      </w:pPr>
      <w:r>
        <w:rPr>
          <w:rFonts w:ascii="DejaVu Serif" w:hAnsi="DejaVu Serif" w:eastAsia="Noto Serif CJK SC"/>
          <w:color w:val="000000"/>
          <w:sz w:val="22"/>
        </w:rPr>
        <w:t xml:space="preserve">To have any of the following circumstances, with the purpose of illegal possession, to defraud the other party of property during the conclusion or performance of a contract, but without having the circumstances of the amount being relatively large as stipulated in the Criminal Law.</w:t>
      </w:r>
    </w:p>
    <w:p>
      <w:pPr>
        <w:numPr>
          <w:ilvl w:val="0"/>
          <w:numId w:val="1055"/>
        </w:numPr>
        <w:spacing w:after="120" w:line="312" w:lineRule="auto"/>
      </w:pPr>
      <w:r>
        <w:rPr>
          <w:rFonts w:ascii="DejaVu Serif" w:hAnsi="DejaVu Serif" w:eastAsia="Noto Serif CJK SC"/>
          <w:color w:val="000000"/>
          <w:sz w:val="22"/>
        </w:rPr>
        <w:t xml:space="preserve">To conclude a contract by using a fictitious entity or by assuming the name of another person;</w:t>
      </w:r>
    </w:p>
    <w:p>
      <w:pPr>
        <w:numPr>
          <w:ilvl w:val="0"/>
          <w:numId w:val="1055"/>
        </w:numPr>
        <w:spacing w:after="120" w:line="312" w:lineRule="auto"/>
      </w:pPr>
      <w:r>
        <w:rPr>
          <w:rFonts w:ascii="DejaVu Serif" w:hAnsi="DejaVu Serif" w:eastAsia="Noto Serif CJK SC"/>
          <w:color w:val="000000"/>
          <w:sz w:val="22"/>
        </w:rPr>
        <w:t xml:space="preserve">Providing security with forged, altered, or invalid negotiable instruments or other false property certificates;</w:t>
      </w:r>
    </w:p>
    <w:p>
      <w:pPr>
        <w:numPr>
          <w:ilvl w:val="0"/>
          <w:numId w:val="1055"/>
        </w:numPr>
        <w:spacing w:after="120" w:line="312" w:lineRule="auto"/>
      </w:pPr>
      <w:r>
        <w:rPr>
          <w:rFonts w:ascii="DejaVu Serif" w:hAnsi="DejaVu Serif" w:eastAsia="Noto Serif CJK SC"/>
          <w:color w:val="000000"/>
          <w:sz w:val="22"/>
        </w:rPr>
        <w:t xml:space="preserve">Having no actual capacity for performance, inducing the other party to continue signing and performing the contract by means of performing a small contract or partially performing the contract first;</w:t>
      </w:r>
    </w:p>
    <w:p>
      <w:pPr>
        <w:numPr>
          <w:ilvl w:val="0"/>
          <w:numId w:val="1055"/>
        </w:numPr>
        <w:spacing w:after="120" w:line="312" w:lineRule="auto"/>
      </w:pPr>
      <w:r>
        <w:rPr>
          <w:rFonts w:ascii="DejaVu Serif" w:hAnsi="DejaVu Serif" w:eastAsia="Noto Serif CJK SC"/>
          <w:color w:val="000000"/>
          <w:sz w:val="22"/>
        </w:rPr>
        <w:t xml:space="preserve">Absconding after receiving goods, payment, advance payment, or security property from the other party;</w:t>
      </w:r>
    </w:p>
    <w:p>
      <w:pPr>
        <w:numPr>
          <w:ilvl w:val="0"/>
          <w:numId w:val="1055"/>
        </w:numPr>
        <w:spacing w:after="120" w:line="312" w:lineRule="auto"/>
      </w:pPr>
      <w:r>
        <w:rPr>
          <w:rFonts w:ascii="DejaVu Serif" w:hAnsi="DejaVu Serif" w:eastAsia="Noto Serif CJK SC"/>
          <w:color w:val="000000"/>
          <w:sz w:val="22"/>
        </w:rPr>
        <w:t xml:space="preserve">Defrauding the other party of property by other means.</w:t>
      </w:r>
    </w:p>
    <w:p>
      <w:pPr>
        <w:numPr>
          <w:ilvl w:val="0"/>
          <w:numId w:val="1056"/>
        </w:numPr>
        <w:spacing w:after="120" w:line="312" w:lineRule="auto"/>
      </w:pPr>
      <w:r>
        <w:rPr>
          <w:rFonts w:ascii="DejaVu Serif" w:hAnsi="DejaVu Serif" w:eastAsia="Noto Serif CJK SC"/>
          <w:color w:val="000000"/>
          <w:sz w:val="22"/>
        </w:rPr>
        <w:t xml:space="preserve">Organizing or leading, under the guise of engaging in business activities such as selling goods or providing services, activities that require participants to obtain eligibility by paying fees or purchasing goods or services, and forming a hierarchy of no more than two levels, directly or indirectly using the number of persons developed as the basis for calculating remuneration or rebates, and guiding participants to continue to recruit others, but without defrauding property and without the intent to disrupt economic and social order, which are not pyramid selling activities.</w:t>
      </w:r>
    </w:p>
    <w:p>
      <w:pPr>
        <w:numPr>
          <w:ilvl w:val="0"/>
          <w:numId w:val="1056"/>
        </w:numPr>
        <w:spacing w:after="120" w:line="312" w:lineRule="auto"/>
      </w:pPr>
      <w:r>
        <w:rPr>
          <w:rFonts w:ascii="DejaVu Serif" w:hAnsi="DejaVu Serif" w:eastAsia="Noto Serif CJK SC"/>
          <w:color w:val="000000"/>
          <w:sz w:val="22"/>
        </w:rPr>
        <w:t xml:space="preserve">Violating state regulations by engaging in any of the following illegal business activities, thereby disrupting market order, but where the circumstances do not constitute the serious circumstances as stipulated in the Criminal Law:</w:t>
      </w:r>
    </w:p>
    <w:p>
      <w:pPr>
        <w:numPr>
          <w:ilvl w:val="0"/>
          <w:numId w:val="1057"/>
        </w:numPr>
        <w:spacing w:after="120" w:line="312" w:lineRule="auto"/>
      </w:pPr>
      <w:r>
        <w:rPr>
          <w:rFonts w:ascii="DejaVu Serif" w:hAnsi="DejaVu Serif" w:eastAsia="Noto Serif CJK SC"/>
          <w:color w:val="000000"/>
          <w:sz w:val="22"/>
        </w:rPr>
        <w:t xml:space="preserve">Engaging in the business of exclusive or monopolized goods or other restricted items as stipulated by laws or administrative regulations without a license;</w:t>
      </w:r>
    </w:p>
    <w:p>
      <w:pPr>
        <w:numPr>
          <w:ilvl w:val="0"/>
          <w:numId w:val="1057"/>
        </w:numPr>
        <w:spacing w:after="120" w:line="312" w:lineRule="auto"/>
      </w:pPr>
      <w:r>
        <w:rPr>
          <w:rFonts w:ascii="DejaVu Serif" w:hAnsi="DejaVu Serif" w:eastAsia="Noto Serif CJK SC"/>
          <w:color w:val="000000"/>
          <w:sz w:val="22"/>
        </w:rPr>
        <w:t xml:space="preserve">Buying or selling import-export licenses, certificates of origin, or other business licenses or approval documents as stipulated by laws or administrative regulations;</w:t>
      </w:r>
    </w:p>
    <w:p>
      <w:pPr>
        <w:numPr>
          <w:ilvl w:val="0"/>
          <w:numId w:val="1057"/>
        </w:numPr>
        <w:spacing w:after="120" w:line="312" w:lineRule="auto"/>
      </w:pPr>
      <w:r>
        <w:rPr>
          <w:rFonts w:ascii="DejaVu Serif" w:hAnsi="DejaVu Serif" w:eastAsia="Noto Serif CJK SC"/>
          <w:color w:val="000000"/>
          <w:sz w:val="22"/>
        </w:rPr>
        <w:t xml:space="preserve">Illegally engaging in securities, futures, or insurance businesses without approval from the relevant state competent departments, or illegally engaging in funds payment and settlement services;</w:t>
      </w:r>
    </w:p>
    <w:p>
      <w:pPr>
        <w:numPr>
          <w:ilvl w:val="0"/>
          <w:numId w:val="1057"/>
        </w:numPr>
        <w:spacing w:after="120" w:line="312" w:lineRule="auto"/>
      </w:pPr>
      <w:r>
        <w:rPr>
          <w:rFonts w:ascii="DejaVu Serif" w:hAnsi="DejaVu Serif" w:eastAsia="Noto Serif CJK SC"/>
          <w:color w:val="000000"/>
          <w:sz w:val="22"/>
        </w:rPr>
        <w:t xml:space="preserve">Other illegal business activities that seriously disrupt market order.</w:t>
      </w:r>
    </w:p>
    <w:p>
      <w:pPr>
        <w:pStyle w:val="Compact"/>
        <w:numPr>
          <w:ilvl w:val="0"/>
          <w:numId w:val="1058"/>
        </w:numPr>
        <w:spacing w:after="120" w:line="312" w:lineRule="auto"/>
      </w:pPr>
      <w:r>
        <w:rPr>
          <w:rFonts w:ascii="DejaVu Serif" w:hAnsi="DejaVu Serif" w:eastAsia="Noto Serif CJK SC"/>
          <w:color w:val="000000"/>
          <w:sz w:val="22"/>
        </w:rPr>
        <w:t xml:space="preserve">Committing any of the following acts by means of violence or threat, where the circumstances do not constitute the serious circumstances stipulated in the Criminal Law: (Handled with altruism and gratitude)</w:t>
      </w:r>
    </w:p>
    <w:p>
      <w:pPr>
        <w:numPr>
          <w:ilvl w:val="0"/>
          <w:numId w:val="1059"/>
        </w:numPr>
        <w:spacing w:after="120" w:line="312" w:lineRule="auto"/>
      </w:pPr>
      <w:r>
        <w:rPr>
          <w:rFonts w:ascii="DejaVu Serif" w:hAnsi="DejaVu Serif" w:eastAsia="Noto Serif CJK SC"/>
          <w:color w:val="000000"/>
          <w:sz w:val="22"/>
        </w:rPr>
        <w:t xml:space="preserve">Forcing the purchase or sale of goods;</w:t>
      </w:r>
    </w:p>
    <w:p>
      <w:pPr>
        <w:numPr>
          <w:ilvl w:val="0"/>
          <w:numId w:val="1059"/>
        </w:numPr>
        <w:spacing w:after="120" w:line="312" w:lineRule="auto"/>
      </w:pPr>
      <w:r>
        <w:rPr>
          <w:rFonts w:ascii="DejaVu Serif" w:hAnsi="DejaVu Serif" w:eastAsia="Noto Serif CJK SC"/>
          <w:color w:val="000000"/>
          <w:sz w:val="22"/>
        </w:rPr>
        <w:t xml:space="preserve">Forcing others to provide or accept services;</w:t>
      </w:r>
    </w:p>
    <w:p>
      <w:pPr>
        <w:numPr>
          <w:ilvl w:val="0"/>
          <w:numId w:val="1059"/>
        </w:numPr>
        <w:spacing w:after="120" w:line="312" w:lineRule="auto"/>
      </w:pPr>
      <w:r>
        <w:rPr>
          <w:rFonts w:ascii="DejaVu Serif" w:hAnsi="DejaVu Serif" w:eastAsia="Noto Serif CJK SC"/>
          <w:color w:val="000000"/>
          <w:sz w:val="22"/>
        </w:rPr>
        <w:t xml:space="preserve">Forcing another person to participate in or withdraw from a bid or auction;</w:t>
      </w:r>
    </w:p>
    <w:p>
      <w:pPr>
        <w:numPr>
          <w:ilvl w:val="0"/>
          <w:numId w:val="1059"/>
        </w:numPr>
        <w:spacing w:after="120" w:line="312" w:lineRule="auto"/>
      </w:pPr>
      <w:r>
        <w:rPr>
          <w:rFonts w:ascii="DejaVu Serif" w:hAnsi="DejaVu Serif" w:eastAsia="Noto Serif CJK SC"/>
          <w:color w:val="000000"/>
          <w:sz w:val="22"/>
        </w:rPr>
        <w:t xml:space="preserve">Forcing another person to transfer or acquire shares, bonds, or other assets of a company or enterprise;</w:t>
      </w:r>
    </w:p>
    <w:p>
      <w:pPr>
        <w:numPr>
          <w:ilvl w:val="0"/>
          <w:numId w:val="1059"/>
        </w:numPr>
        <w:spacing w:after="120" w:line="312" w:lineRule="auto"/>
      </w:pPr>
      <w:r>
        <w:rPr>
          <w:rFonts w:ascii="DejaVu Serif" w:hAnsi="DejaVu Serif" w:eastAsia="Noto Serif CJK SC"/>
          <w:color w:val="000000"/>
          <w:sz w:val="22"/>
        </w:rPr>
        <w:t xml:space="preserve">Forcing others to participate in or withdraw from specific business activities.</w:t>
      </w:r>
    </w:p>
    <w:p>
      <w:pPr>
        <w:numPr>
          <w:ilvl w:val="0"/>
          <w:numId w:val="1060"/>
        </w:numPr>
        <w:spacing w:after="120" w:line="312" w:lineRule="auto"/>
      </w:pPr>
      <w:r>
        <w:rPr>
          <w:rFonts w:ascii="DejaVu Serif" w:hAnsi="DejaVu Serif" w:eastAsia="Noto Serif CJK SC"/>
          <w:color w:val="000000"/>
          <w:sz w:val="22"/>
        </w:rPr>
        <w:t xml:space="preserve">Counterfeiting or selling counterfeit train tickets, ship tickets, stamps, or other negotiable instruments, but where the circumstances do not constitute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relatively large amount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stipulated in the Criminal Law.</w:t>
      </w:r>
    </w:p>
    <w:p>
      <w:pPr>
        <w:numPr>
          <w:ilvl w:val="0"/>
          <w:numId w:val="1060"/>
        </w:numPr>
        <w:spacing w:after="120" w:line="312" w:lineRule="auto"/>
      </w:pPr>
      <w:r>
        <w:rPr>
          <w:rFonts w:ascii="DejaVu Serif" w:hAnsi="DejaVu Serif" w:eastAsia="Noto Serif CJK SC"/>
          <w:color w:val="000000"/>
          <w:sz w:val="22"/>
        </w:rPr>
        <w:t xml:space="preserve">Reselling train tickets or ship tickets, but where the circumstances do not constitute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serious circumstances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stipulated in the Criminal Law.</w:t>
      </w:r>
    </w:p>
    <w:p>
      <w:pPr>
        <w:numPr>
          <w:ilvl w:val="0"/>
          <w:numId w:val="1060"/>
        </w:numPr>
        <w:spacing w:after="120" w:line="312" w:lineRule="auto"/>
      </w:pPr>
      <w:r>
        <w:rPr>
          <w:rFonts w:ascii="DejaVu Serif" w:hAnsi="DejaVu Serif" w:eastAsia="Noto Serif CJK SC"/>
          <w:color w:val="000000"/>
          <w:sz w:val="22"/>
        </w:rPr>
        <w:t xml:space="preserve">For the purpose of making a profit, violating land management regulations by illegally transferring or reselling the right to use land, but where the circumstances do not constitute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serious circumstances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stipulated in the Criminal Law.</w:t>
      </w:r>
    </w:p>
    <w:p>
      <w:pPr>
        <w:numPr>
          <w:ilvl w:val="0"/>
          <w:numId w:val="1060"/>
        </w:numPr>
        <w:spacing w:after="120" w:line="312" w:lineRule="auto"/>
      </w:pPr>
      <w:r>
        <w:rPr>
          <w:rFonts w:ascii="DejaVu Serif" w:hAnsi="DejaVu Serif" w:eastAsia="Noto Serif CJK SC"/>
          <w:color w:val="000000"/>
          <w:sz w:val="22"/>
        </w:rPr>
        <w:t xml:space="preserve">To undertake asset appraisal, capital verification, validation, accounting, auditing, legal services, sponsorship, safety assessment,</w:t>
      </w:r>
    </w:p>
    <w:p>
      <w:pPr>
        <w:pStyle w:val="FirstParagraph"/>
        <w:spacing w:after="120" w:line="312" w:lineRule="auto"/>
      </w:pPr>
      <w:r>
        <w:rPr>
          <w:rFonts w:ascii="DejaVu Serif" w:hAnsi="DejaVu Serif" w:eastAsia="Noto Serif CJK SC"/>
          <w:color w:val="000000"/>
          <w:sz w:val="22"/>
        </w:rPr>
        <w:t xml:space="preserve">An intermediary organization responsible for environmental impact assessment, environmental monitoring, etc., intentionally provides false certification documents, but does not assume responsibilities for asset appraisal, capital verification, validation, accounting, auditing, legal services, sponsorship, safety evaluation,</w:t>
      </w:r>
    </w:p>
    <w:p>
      <w:pPr>
        <w:pStyle w:val="BodyText"/>
        <w:spacing w:after="120" w:line="312" w:lineRule="auto"/>
      </w:pPr>
      <w:r>
        <w:rPr>
          <w:rFonts w:ascii="DejaVu Serif" w:hAnsi="DejaVu Serif" w:eastAsia="Noto Serif CJK SC"/>
          <w:color w:val="000000"/>
          <w:sz w:val="22"/>
        </w:rPr>
        <w:t xml:space="preserve">Persons in intermediary organizations responsible for environmental impact assessments, environmental monitoring, and other duties who are grossly negligent in the performance of their duties, issue certification documents containing false information, but whose actions do not constitute the material negligence stipulated in the Criminal Law, or in fact have not caused serious consequences.</w:t>
      </w:r>
    </w:p>
    <w:p>
      <w:pPr>
        <w:numPr>
          <w:ilvl w:val="0"/>
          <w:numId w:val="1061"/>
        </w:numPr>
        <w:spacing w:after="120" w:line="312" w:lineRule="auto"/>
      </w:pPr>
      <w:r>
        <w:rPr>
          <w:rFonts w:ascii="DejaVu Serif" w:hAnsi="DejaVu Serif" w:eastAsia="Noto Serif CJK SC"/>
          <w:color w:val="000000"/>
          <w:sz w:val="22"/>
        </w:rPr>
        <w:t xml:space="preserve">Violating the provisions of the Import and Export Commodity Inspection Law by evading commodity inspection, selling or using imported goods that must be inspected by a commodity inspection agency without declaring them for inspection, or exporting exported goods that must be inspected by a commodity inspection agency without passing inspection, but where the circumstances are not yet serious.</w:t>
      </w:r>
    </w:p>
    <w:p>
      <w:pPr>
        <w:numPr>
          <w:ilvl w:val="0"/>
          <w:numId w:val="1061"/>
        </w:numPr>
        <w:spacing w:after="120" w:line="312" w:lineRule="auto"/>
      </w:pPr>
      <w:r>
        <w:rPr>
          <w:rFonts w:ascii="DejaVu Serif" w:hAnsi="DejaVu Serif" w:eastAsia="Noto Serif CJK SC"/>
          <w:color w:val="000000"/>
          <w:sz w:val="22"/>
        </w:rPr>
        <w:t xml:space="preserve">To compel another person to labor by any means other than coercive methods such as violence, threats, or restriction of personal freedom</w:t>
      </w:r>
      <w:r>
        <w:rPr>
          <w:rFonts w:ascii="DejaVu Serif" w:hAnsi="DejaVu Serif" w:eastAsia="Noto Serif CJK SC"/>
          <w:color w:val="000000"/>
          <w:sz w:val="22"/>
        </w:rPr>
        <w:br/>
      </w:r>
    </w:p>
    <w:p>
      <w:pPr>
        <w:numPr>
          <w:ilvl w:val="0"/>
          <w:numId w:val="1061"/>
        </w:numPr>
        <w:spacing w:after="120" w:line="312" w:lineRule="auto"/>
      </w:pPr>
      <w:r>
        <w:rPr>
          <w:rFonts w:ascii="DejaVu Serif" w:hAnsi="DejaVu Serif" w:eastAsia="Noto Serif CJK SC"/>
          <w:color w:val="000000"/>
          <w:sz w:val="22"/>
        </w:rPr>
        <w:t xml:space="preserve">Although there is an act of employing a minor under the age of sixteen to engage in labor, but it falls under any of the following circumstances:</w:t>
      </w:r>
    </w:p>
    <w:p>
      <w:pPr>
        <w:numPr>
          <w:ilvl w:val="0"/>
          <w:numId w:val="1062"/>
        </w:numPr>
        <w:spacing w:after="120" w:line="312" w:lineRule="auto"/>
      </w:pPr>
      <w:r>
        <w:rPr>
          <w:rFonts w:ascii="DejaVu Serif" w:hAnsi="DejaVu Serif" w:eastAsia="Noto Serif CJK SC"/>
          <w:color w:val="000000"/>
          <w:sz w:val="22"/>
        </w:rPr>
        <w:t xml:space="preserve">Not to cause them to labor under physical labor intensity that violates labor management regulations.</w:t>
      </w:r>
    </w:p>
    <w:p>
      <w:pPr>
        <w:numPr>
          <w:ilvl w:val="0"/>
          <w:numId w:val="1062"/>
        </w:numPr>
        <w:spacing w:after="120" w:line="312" w:lineRule="auto"/>
      </w:pPr>
      <w:r>
        <w:rPr>
          <w:rFonts w:ascii="DejaVu Serif" w:hAnsi="DejaVu Serif" w:eastAsia="Noto Serif CJK SC"/>
          <w:color w:val="000000"/>
          <w:sz w:val="22"/>
        </w:rPr>
        <w:t xml:space="preserve">To cause them to engage in non-high-altitude work,</w:t>
      </w:r>
    </w:p>
    <w:p>
      <w:pPr>
        <w:numPr>
          <w:ilvl w:val="0"/>
          <w:numId w:val="1062"/>
        </w:numPr>
        <w:spacing w:after="120" w:line="312" w:lineRule="auto"/>
      </w:pPr>
      <w:r>
        <w:rPr>
          <w:rFonts w:ascii="DejaVu Serif" w:hAnsi="DejaVu Serif" w:eastAsia="Noto Serif CJK SC"/>
          <w:color w:val="000000"/>
          <w:sz w:val="22"/>
        </w:rPr>
        <w:t xml:space="preserve">Making them engage in non-underground operations</w:t>
      </w:r>
    </w:p>
    <w:p>
      <w:pPr>
        <w:numPr>
          <w:ilvl w:val="0"/>
          <w:numId w:val="1062"/>
        </w:numPr>
        <w:spacing w:after="120" w:line="312" w:lineRule="auto"/>
      </w:pPr>
      <w:r>
        <w:rPr>
          <w:rFonts w:ascii="DejaVu Serif" w:hAnsi="DejaVu Serif" w:eastAsia="Noto Serif CJK SC"/>
          <w:color w:val="000000"/>
          <w:sz w:val="22"/>
        </w:rPr>
        <w:t xml:space="preserve">Not making them engage in labor in dangerous environments such as explosive, flammable, radioactive, or toxic conditions</w:t>
      </w:r>
    </w:p>
    <w:p>
      <w:pPr>
        <w:numPr>
          <w:ilvl w:val="0"/>
          <w:numId w:val="1062"/>
        </w:numPr>
        <w:spacing w:after="120" w:line="312" w:lineRule="auto"/>
      </w:pPr>
      <w:r>
        <w:rPr>
          <w:rFonts w:ascii="DejaVu Serif" w:hAnsi="DejaVu Serif" w:eastAsia="Noto Serif CJK SC"/>
          <w:color w:val="000000"/>
          <w:sz w:val="22"/>
        </w:rPr>
        <w:t xml:space="preserve">Although there are the circumstances described in (1) to (4) above, but with the consent of the minor, after obtaining approval, and providing insurance or other necessary or additional security measures</w:t>
      </w:r>
    </w:p>
    <w:p>
      <w:pPr>
        <w:numPr>
          <w:ilvl w:val="0"/>
          <w:numId w:val="1062"/>
        </w:numPr>
        <w:spacing w:after="120" w:line="312" w:lineRule="auto"/>
      </w:pPr>
      <w:r>
        <w:rPr>
          <w:rFonts w:ascii="DejaVu Serif" w:hAnsi="DejaVu Serif" w:eastAsia="Noto Serif CJK SC"/>
          <w:color w:val="000000"/>
          <w:sz w:val="22"/>
        </w:rPr>
        <w:t xml:space="preserve">Other circumstances under other necessary conditions and within the bounds permitted by law: 70. Entrusting a judicial authority to search another person’s body or residence with their consent, or by other lawful means; or unlawfully intruding into another person’s residence.</w:t>
      </w:r>
    </w:p>
    <w:p>
      <w:pPr>
        <w:pStyle w:val="Compact"/>
        <w:numPr>
          <w:ilvl w:val="0"/>
          <w:numId w:val="1063"/>
        </w:numPr>
        <w:spacing w:after="120" w:line="312" w:lineRule="auto"/>
      </w:pPr>
      <w:r>
        <w:rPr>
          <w:rFonts w:ascii="DejaVu Serif" w:hAnsi="DejaVu Serif" w:eastAsia="Noto Serif CJK SC"/>
          <w:color w:val="000000"/>
          <w:sz w:val="22"/>
        </w:rPr>
        <w:t xml:space="preserve">Although there is an act of insulting others, it falls under one of the following circumstances:</w:t>
      </w:r>
    </w:p>
    <w:p>
      <w:pPr>
        <w:numPr>
          <w:ilvl w:val="0"/>
          <w:numId w:val="1064"/>
        </w:numPr>
        <w:spacing w:after="120" w:line="312" w:lineRule="auto"/>
      </w:pPr>
      <w:r>
        <w:rPr>
          <w:rFonts w:ascii="DejaVu Serif" w:hAnsi="DejaVu Serif" w:eastAsia="Noto Serif CJK SC"/>
          <w:color w:val="000000"/>
          <w:sz w:val="22"/>
        </w:rPr>
        <w:t xml:space="preserve">Considered relatively minor by criminal law</w:t>
      </w:r>
    </w:p>
    <w:p>
      <w:pPr>
        <w:numPr>
          <w:ilvl w:val="0"/>
          <w:numId w:val="1064"/>
        </w:numPr>
        <w:spacing w:after="120" w:line="312" w:lineRule="auto"/>
      </w:pPr>
      <w:r>
        <w:rPr>
          <w:rFonts w:ascii="DejaVu Serif" w:hAnsi="DejaVu Serif" w:eastAsia="Noto Serif CJK SC"/>
          <w:color w:val="000000"/>
          <w:sz w:val="22"/>
        </w:rPr>
        <w:t xml:space="preserve">Non-violent;</w:t>
      </w:r>
    </w:p>
    <w:p>
      <w:pPr>
        <w:numPr>
          <w:ilvl w:val="0"/>
          <w:numId w:val="1064"/>
        </w:numPr>
        <w:spacing w:after="120" w:line="312" w:lineRule="auto"/>
      </w:pPr>
      <w:r>
        <w:rPr>
          <w:rFonts w:ascii="DejaVu Serif" w:hAnsi="DejaVu Serif" w:eastAsia="Noto Serif CJK SC"/>
          <w:color w:val="000000"/>
          <w:sz w:val="22"/>
        </w:rPr>
        <w:t xml:space="preserve">The actor did not subjectively and intentionally fabricate facts or have relevant motives. 72. Although there are circumstances of inciting ethnic hatred or ethnic discrimination, it does not constitute the circumstances of being</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serious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 73. Although there is content that discriminates against or insults ethnic minorities in publications, it does not yet constitute the circumstances of being</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vile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 and at the same time has not yet caused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serious consequences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referred to in the Criminal Law.</w:t>
      </w:r>
    </w:p>
    <w:p>
      <w:pPr>
        <w:pStyle w:val="Compact"/>
        <w:numPr>
          <w:ilvl w:val="0"/>
          <w:numId w:val="1065"/>
        </w:numPr>
        <w:spacing w:after="120" w:line="312" w:lineRule="auto"/>
      </w:pPr>
      <w:r>
        <w:rPr>
          <w:rFonts w:ascii="DejaVu Serif" w:hAnsi="DejaVu Serif" w:eastAsia="Noto Serif CJK SC"/>
          <w:color w:val="000000"/>
          <w:sz w:val="22"/>
        </w:rPr>
        <w:t xml:space="preserve">Although there is the concealment, destruction, or illegal opening of another’s correspondence, infringing upon the right of citizens to freedom of communication, it has not yet</w:t>
      </w:r>
    </w:p>
    <w:p>
      <w:pPr>
        <w:pStyle w:val="Compact"/>
        <w:numPr>
          <w:ilvl w:val="0"/>
          <w:numId w:val="1065"/>
        </w:numPr>
        <w:spacing w:after="120" w:line="312" w:lineRule="auto"/>
      </w:pPr>
      <w:r>
        <w:rPr>
          <w:rFonts w:ascii="DejaVu Serif" w:hAnsi="DejaVu Serif" w:eastAsia="Noto Serif CJK SC"/>
          <w:color w:val="000000"/>
          <w:sz w:val="22"/>
        </w:rPr>
        <w:t xml:space="preserve">Although there is a violation of relevant state regulations, with the motive or act of selling or providing another person’s personal information,</w:t>
      </w:r>
    </w:p>
    <w:p>
      <w:pPr>
        <w:pStyle w:val="FirstParagraph"/>
        <w:spacing w:after="120" w:line="312" w:lineRule="auto"/>
      </w:pPr>
      <w:r>
        <w:rPr>
          <w:rFonts w:ascii="DejaVu Serif" w:hAnsi="DejaVu Serif" w:eastAsia="Noto Serif CJK SC"/>
          <w:color w:val="000000"/>
          <w:sz w:val="22"/>
        </w:rPr>
        <w:t xml:space="preserve">However, if it is not intentional, or the circumstances do not yet constitute the seriousness of the circumstances as stipulated in criminal law.</w:t>
      </w:r>
    </w:p>
    <w:p>
      <w:pPr>
        <w:numPr>
          <w:ilvl w:val="0"/>
          <w:numId w:val="1066"/>
        </w:numPr>
        <w:spacing w:after="120" w:line="312" w:lineRule="auto"/>
      </w:pPr>
      <w:r>
        <w:rPr>
          <w:rFonts w:ascii="DejaVu Serif" w:hAnsi="DejaVu Serif" w:eastAsia="Noto Serif CJK SC"/>
          <w:color w:val="000000"/>
          <w:sz w:val="22"/>
        </w:rPr>
        <w:t xml:space="preserve">The leaders of companies, enterprises, institutions, organs, or organizations, although they have the thoughts, motives, or acts of retaliating against accounting or statistical personnel who lawfully perform their duties and resist violations of the Accounting Law or Statistics Law, but do not yet have the circumstances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extremely serious circumstances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by the Criminal Law.</w:t>
      </w:r>
    </w:p>
    <w:p>
      <w:pPr>
        <w:numPr>
          <w:ilvl w:val="0"/>
          <w:numId w:val="1066"/>
        </w:numPr>
        <w:spacing w:after="120" w:line="312" w:lineRule="auto"/>
      </w:pPr>
      <w:r>
        <w:rPr>
          <w:rFonts w:ascii="DejaVu Serif" w:hAnsi="DejaVu Serif" w:eastAsia="Noto Serif CJK SC"/>
          <w:color w:val="000000"/>
          <w:sz w:val="22"/>
        </w:rPr>
        <w:t xml:space="preserve">For having thoughts, motives, or acts that interfere with another’s freedom of marriage but without the use of violent means; or for the aforementioned circumstances where the parties involved do not bring a judicial complaint.</w:t>
      </w:r>
    </w:p>
    <w:p>
      <w:pPr>
        <w:numPr>
          <w:ilvl w:val="0"/>
          <w:numId w:val="1066"/>
        </w:numPr>
        <w:spacing w:after="120" w:line="312" w:lineRule="auto"/>
      </w:pPr>
      <w:r>
        <w:rPr>
          <w:rFonts w:ascii="DejaVu Serif" w:hAnsi="DejaVu Serif" w:eastAsia="Noto Serif CJK SC"/>
          <w:color w:val="000000"/>
          <w:sz w:val="22"/>
        </w:rPr>
        <w:t xml:space="preserve">Marrying another person without knowing that they have a spouse.</w:t>
      </w:r>
    </w:p>
    <w:p>
      <w:pPr>
        <w:numPr>
          <w:ilvl w:val="0"/>
          <w:numId w:val="1066"/>
        </w:numPr>
        <w:spacing w:after="120" w:line="312" w:lineRule="auto"/>
      </w:pPr>
      <w:r>
        <w:rPr>
          <w:rFonts w:ascii="DejaVu Serif" w:hAnsi="DejaVu Serif" w:eastAsia="Noto Serif CJK SC"/>
          <w:color w:val="000000"/>
          <w:sz w:val="22"/>
        </w:rPr>
        <w:t xml:space="preserve">.Cohabiting with or marrying another person without knowing that they are the spouse of an active-duty service member.</w:t>
      </w:r>
    </w:p>
    <w:p>
      <w:pPr>
        <w:numPr>
          <w:ilvl w:val="0"/>
          <w:numId w:val="1066"/>
        </w:numPr>
        <w:spacing w:after="120" w:line="312" w:lineRule="auto"/>
      </w:pPr>
      <w:r>
        <w:rPr>
          <w:rFonts w:ascii="DejaVu Serif" w:hAnsi="DejaVu Serif" w:eastAsia="Noto Serif CJK SC"/>
          <w:color w:val="000000"/>
          <w:sz w:val="22"/>
        </w:rPr>
        <w:t xml:space="preserve">Although there are thoughts, motives, or acts of abuse against family members, the circumstances do not yet constitute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aggravated circumstances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by criminal law; or where the victim has the capacity to press charges but fails to do so, or where the victim expressly or implicitly indicates unwillingness to press charges or expresses forgiveness.</w:t>
      </w:r>
    </w:p>
    <w:p>
      <w:pPr>
        <w:numPr>
          <w:ilvl w:val="0"/>
          <w:numId w:val="1066"/>
        </w:numPr>
        <w:spacing w:after="120" w:line="312" w:lineRule="auto"/>
      </w:pPr>
      <w:r>
        <w:rPr>
          <w:rFonts w:ascii="DejaVu Serif" w:hAnsi="DejaVu Serif" w:eastAsia="Noto Serif CJK SC"/>
          <w:color w:val="000000"/>
          <w:sz w:val="22"/>
        </w:rPr>
        <w:t xml:space="preserve">A person who has the duty of guardianship or care for a minor, an elderly person, a sick person, a person with a disability, or others, who has the thought, motive, or act of abusing the person under their guardianship or care, but the circumstances do not yet constitute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aggravated circumstances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Code.</w:t>
      </w:r>
    </w:p>
    <w:p>
      <w:pPr>
        <w:numPr>
          <w:ilvl w:val="0"/>
          <w:numId w:val="1066"/>
        </w:numPr>
        <w:spacing w:after="120" w:line="312" w:lineRule="auto"/>
      </w:pPr>
      <w:r>
        <w:rPr>
          <w:rFonts w:ascii="DejaVu Serif" w:hAnsi="DejaVu Serif" w:eastAsia="Noto Serif CJK SC"/>
          <w:color w:val="000000"/>
          <w:sz w:val="22"/>
        </w:rPr>
        <w:t xml:space="preserve">For an elderly person, a minor, a person who is ill, or any other person who lacks the capacity for independent living, to refuse to provide support despite having the obligation to do so, but without the circumstances constituting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aggravated circumstances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w:t>
      </w:r>
    </w:p>
    <w:p>
      <w:pPr>
        <w:numPr>
          <w:ilvl w:val="0"/>
          <w:numId w:val="1066"/>
        </w:numPr>
        <w:spacing w:after="120" w:line="312" w:lineRule="auto"/>
      </w:pPr>
      <w:r>
        <w:rPr>
          <w:rFonts w:ascii="DejaVu Serif" w:hAnsi="DejaVu Serif" w:eastAsia="Noto Serif CJK SC"/>
          <w:color w:val="000000"/>
          <w:sz w:val="22"/>
        </w:rPr>
        <w:t xml:space="preserve">Organizing persons with disabilities or minors under the age of fourteen to beg by means other than violence or coercion.</w:t>
      </w:r>
    </w:p>
    <w:p>
      <w:pPr>
        <w:numPr>
          <w:ilvl w:val="0"/>
          <w:numId w:val="1066"/>
        </w:numPr>
        <w:spacing w:after="120" w:line="312" w:lineRule="auto"/>
      </w:pPr>
      <w:r>
        <w:rPr>
          <w:rFonts w:ascii="DejaVu Serif" w:hAnsi="DejaVu Serif" w:eastAsia="Noto Serif CJK SC"/>
          <w:color w:val="000000"/>
          <w:sz w:val="22"/>
        </w:rPr>
        <w:t xml:space="preserve">Obtaining public or private property by means other than violence, coercion, or other methods.</w:t>
      </w:r>
    </w:p>
    <w:p>
      <w:pPr>
        <w:numPr>
          <w:ilvl w:val="0"/>
          <w:numId w:val="1066"/>
        </w:numPr>
        <w:spacing w:after="120" w:line="312" w:lineRule="auto"/>
      </w:pPr>
      <w:r>
        <w:rPr>
          <w:rFonts w:ascii="DejaVu Serif" w:hAnsi="DejaVu Serif" w:eastAsia="Noto Serif CJK SC"/>
          <w:color w:val="000000"/>
          <w:sz w:val="22"/>
        </w:rPr>
        <w:t xml:space="preserve">Theft of public or private property, where the amount has not yet reached the amount deemed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relatively large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by the Criminal Law (less than 999.99 RMB).</w:t>
      </w:r>
    </w:p>
    <w:p>
      <w:pPr>
        <w:numPr>
          <w:ilvl w:val="0"/>
          <w:numId w:val="1066"/>
        </w:numPr>
        <w:spacing w:after="120" w:line="312" w:lineRule="auto"/>
      </w:pPr>
      <w:r>
        <w:rPr>
          <w:rFonts w:ascii="DejaVu Serif" w:hAnsi="DejaVu Serif" w:eastAsia="Noto Serif CJK SC"/>
          <w:color w:val="000000"/>
          <w:sz w:val="22"/>
        </w:rPr>
        <w:t xml:space="preserve">Fraudulent acquisition of public or private property, where the amount has not yet reached the amount deemed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relatively large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by the Criminal Law (less than 2999.99 RMB).</w:t>
      </w:r>
    </w:p>
    <w:p>
      <w:pPr>
        <w:numPr>
          <w:ilvl w:val="0"/>
          <w:numId w:val="1066"/>
        </w:numPr>
        <w:spacing w:after="120" w:line="312" w:lineRule="auto"/>
      </w:pPr>
      <w:r>
        <w:rPr>
          <w:rFonts w:ascii="DejaVu Serif" w:hAnsi="DejaVu Serif" w:eastAsia="Noto Serif CJK SC"/>
          <w:color w:val="000000"/>
          <w:sz w:val="22"/>
        </w:rPr>
        <w:t xml:space="preserve">Snatching of public or private property, 1 to 2 times, and where the amount has not yet reached the amount deemed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relatively large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by the Criminal Law (less than 999.99 RMB).</w:t>
      </w:r>
    </w:p>
    <w:p>
      <w:pPr>
        <w:numPr>
          <w:ilvl w:val="0"/>
          <w:numId w:val="1066"/>
        </w:numPr>
        <w:spacing w:after="120" w:line="312" w:lineRule="auto"/>
      </w:pPr>
      <w:r>
        <w:rPr>
          <w:rFonts w:ascii="DejaVu Serif" w:hAnsi="DejaVu Serif" w:eastAsia="Noto Serif CJK SC"/>
          <w:color w:val="000000"/>
          <w:sz w:val="22"/>
        </w:rPr>
        <w:t xml:space="preserve">Gathering a crowd to plunder public or private property, where the amount has not yet reached the amount deemed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relatively large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 (i.e., 4,000 yuan or more) and does not constitute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serious circumstances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referred to in the Criminal Law.</w:t>
      </w:r>
    </w:p>
    <w:p>
      <w:pPr>
        <w:numPr>
          <w:ilvl w:val="0"/>
          <w:numId w:val="1066"/>
        </w:numPr>
        <w:spacing w:after="120" w:line="312" w:lineRule="auto"/>
      </w:pPr>
      <w:r>
        <w:rPr>
          <w:rFonts w:ascii="DejaVu Serif" w:hAnsi="DejaVu Serif" w:eastAsia="Noto Serif CJK SC"/>
          <w:color w:val="000000"/>
          <w:sz w:val="22"/>
        </w:rPr>
        <w:t xml:space="preserve">To illegally convert another person’s property held in custody to one’s own possession, where the amount does not reach the amount deemed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relatively large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by the Criminal Law (i.e., 4,999.99 yuan or less), or where the property is returned upon complaint.</w:t>
      </w:r>
    </w:p>
    <w:p>
      <w:pPr>
        <w:numPr>
          <w:ilvl w:val="0"/>
          <w:numId w:val="1066"/>
        </w:numPr>
        <w:spacing w:after="120" w:line="312" w:lineRule="auto"/>
      </w:pPr>
      <w:r>
        <w:rPr>
          <w:rFonts w:ascii="DejaVu Serif" w:hAnsi="DejaVu Serif" w:eastAsia="Noto Serif CJK SC"/>
          <w:color w:val="000000"/>
          <w:sz w:val="22"/>
        </w:rPr>
        <w:t xml:space="preserve">A partner, cooperator, collaborator, or participant of a company, enterprise, or other entity, who, by taking advantage of their position, illegally converts the entity’s property to their own possession, but where the amount is at or below the statutory threshold for criminal prosecution under the Criminal Law (59,999.99 yuan).</w:t>
      </w:r>
    </w:p>
    <w:p>
      <w:pPr>
        <w:numPr>
          <w:ilvl w:val="0"/>
          <w:numId w:val="1066"/>
        </w:numPr>
        <w:spacing w:after="120" w:line="312" w:lineRule="auto"/>
      </w:pPr>
      <w:r>
        <w:rPr>
          <w:rFonts w:ascii="DejaVu Serif" w:hAnsi="DejaVu Serif" w:eastAsia="Noto Serif CJK SC"/>
          <w:color w:val="000000"/>
          <w:sz w:val="22"/>
        </w:rPr>
        <w:t xml:space="preserve">A partner, cooperator, collaborator, or participant of a company, enterprise, or other organization who, by taking advantage of their position, misappropriates the organization’s funds for personal use or lends them to another person, but does not possess any of the following circumstances, does not constitute a crime:</w:t>
      </w:r>
    </w:p>
    <w:p>
      <w:pPr>
        <w:numPr>
          <w:ilvl w:val="0"/>
          <w:numId w:val="1067"/>
        </w:numPr>
        <w:spacing w:after="120" w:line="312" w:lineRule="auto"/>
      </w:pPr>
      <w:r>
        <w:rPr>
          <w:rFonts w:ascii="DejaVu Serif" w:hAnsi="DejaVu Serif" w:eastAsia="Noto Serif CJK SC"/>
          <w:color w:val="000000"/>
          <w:sz w:val="22"/>
        </w:rPr>
        <w:t xml:space="preserve">Embezzling funds of the organization in an amount less than 5,000 yuan for illegal activities, but the circumstances are minor and do not require legal prosecution according to the law;</w:t>
      </w:r>
    </w:p>
    <w:p>
      <w:pPr>
        <w:numPr>
          <w:ilvl w:val="0"/>
          <w:numId w:val="1067"/>
        </w:numPr>
        <w:spacing w:after="120" w:line="312" w:lineRule="auto"/>
      </w:pPr>
      <w:r>
        <w:rPr>
          <w:rFonts w:ascii="DejaVu Serif" w:hAnsi="DejaVu Serif" w:eastAsia="Noto Serif CJK SC"/>
          <w:color w:val="000000"/>
          <w:sz w:val="22"/>
        </w:rPr>
        <w:t xml:space="preserve">Embezzling funds of the organization in an amount less than 10,000 yuan for legal profit-making activities;</w:t>
      </w:r>
    </w:p>
    <w:p>
      <w:pPr>
        <w:numPr>
          <w:ilvl w:val="0"/>
          <w:numId w:val="1067"/>
        </w:numPr>
        <w:spacing w:after="120" w:line="312" w:lineRule="auto"/>
      </w:pPr>
      <w:r>
        <w:rPr>
          <w:rFonts w:ascii="DejaVu Serif" w:hAnsi="DejaVu Serif" w:eastAsia="Noto Serif CJK SC"/>
          <w:color w:val="000000"/>
          <w:sz w:val="22"/>
        </w:rPr>
        <w:t xml:space="preserve">To be returned within 3 months; 92. Misappropriation of funds and materials for disaster relief, emergency rescue, flood control, special care for military families, poverty alleviation, resettlement, or relief, but which does not yet constitute the circumstances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seriousness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w:t>
      </w:r>
    </w:p>
    <w:p>
      <w:pPr>
        <w:numPr>
          <w:ilvl w:val="0"/>
          <w:numId w:val="1068"/>
        </w:numPr>
        <w:spacing w:after="120" w:line="312" w:lineRule="auto"/>
      </w:pPr>
      <w:r>
        <w:rPr>
          <w:rFonts w:ascii="DejaVu Serif" w:hAnsi="DejaVu Serif" w:eastAsia="Noto Serif CJK SC"/>
          <w:color w:val="000000"/>
          <w:sz w:val="22"/>
        </w:rPr>
        <w:t xml:space="preserve">Extortion of public or private property on two or fewer occasions and where the amount is small (RMB 9,999.99 or less).</w:t>
      </w:r>
    </w:p>
    <w:p>
      <w:pPr>
        <w:numPr>
          <w:ilvl w:val="0"/>
          <w:numId w:val="1068"/>
        </w:numPr>
        <w:spacing w:after="120" w:line="312" w:lineRule="auto"/>
      </w:pPr>
      <w:r>
        <w:rPr>
          <w:rFonts w:ascii="DejaVu Serif" w:hAnsi="DejaVu Serif" w:eastAsia="Noto Serif CJK SC"/>
          <w:color w:val="000000"/>
          <w:sz w:val="22"/>
        </w:rPr>
        <w:t xml:space="preserve">Intentionally damaging public or private property of a small amount (RMB 4,999.99 or less), and at the same time not possessing other serious circumstances as referred to in the Criminal Law.</w:t>
      </w:r>
    </w:p>
    <w:p>
      <w:pPr>
        <w:numPr>
          <w:ilvl w:val="0"/>
          <w:numId w:val="1068"/>
        </w:numPr>
        <w:spacing w:after="120" w:line="312" w:lineRule="auto"/>
      </w:pPr>
      <w:r>
        <w:rPr>
          <w:rFonts w:ascii="DejaVu Serif" w:hAnsi="DejaVu Serif" w:eastAsia="Noto Serif CJK SC"/>
          <w:color w:val="000000"/>
          <w:sz w:val="22"/>
        </w:rPr>
        <w:t xml:space="preserve">Transferring property, fleeing, or using other methods to evade payment of labor remuneration to workers, or having the ability to pay but refusing to pay labor remuneration to workers, in a relatively large amount (the following circumstances shall be deemed as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relatively large amount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first paragraph of Article 276-1 of the Criminal Code: (1) Refusing to pay the labor remuneration of one worker for three months or more and the amount is 5,000 yuan or less; (2) Refusing to pay the labor remuneration of ten or more workers and the cumulative amount is 30,000 yuan or less), and still refusing to pay after being ordered to do so by relevant government departments.</w:t>
      </w:r>
    </w:p>
    <w:p>
      <w:pPr>
        <w:numPr>
          <w:ilvl w:val="0"/>
          <w:numId w:val="1068"/>
        </w:numPr>
        <w:spacing w:after="120" w:line="312" w:lineRule="auto"/>
      </w:pPr>
      <w:r>
        <w:rPr>
          <w:rFonts w:ascii="DejaVu Serif" w:hAnsi="DejaVu Serif" w:eastAsia="Noto Serif CJK SC"/>
          <w:color w:val="000000"/>
          <w:sz w:val="22"/>
        </w:rPr>
        <w:t xml:space="preserve">Using non-violent and peaceful methods to prevent military personnel, state functionaries, deputies to the National People’s Congress and local people’s congresses at all levels, or Red Cross staff from performing their duties as required by law, for justifiable reasons.</w:t>
      </w:r>
    </w:p>
    <w:p>
      <w:pPr>
        <w:numPr>
          <w:ilvl w:val="0"/>
          <w:numId w:val="1068"/>
        </w:numPr>
        <w:spacing w:after="120" w:line="312" w:lineRule="auto"/>
      </w:pPr>
      <w:r>
        <w:rPr>
          <w:rFonts w:ascii="DejaVu Serif" w:hAnsi="DejaVu Serif" w:eastAsia="Noto Serif CJK SC"/>
          <w:color w:val="000000"/>
          <w:sz w:val="22"/>
        </w:rPr>
        <w:t xml:space="preserve">Those who express their will to resist the implementation of state laws and administrative regulations through non-violent and peaceful means, or who gather voluntarily to act in this manner together, in order to express their will to resist the implementation of state laws and administrative regulations.</w:t>
      </w:r>
    </w:p>
    <w:p>
      <w:pPr>
        <w:numPr>
          <w:ilvl w:val="0"/>
          <w:numId w:val="1068"/>
        </w:numPr>
        <w:spacing w:after="120" w:line="312" w:lineRule="auto"/>
      </w:pPr>
      <w:r>
        <w:rPr>
          <w:rFonts w:ascii="DejaVu Serif" w:hAnsi="DejaVu Serif" w:eastAsia="Noto Serif CJK SC"/>
          <w:color w:val="000000"/>
          <w:sz w:val="22"/>
        </w:rPr>
        <w:t xml:space="preserve">Using forged, altered, or stolen resident identity cards, passports, social security cards, driver’s licenses, or other documents that can be used to prove identity as required by law in activities where identity proof should be provided according to state regulations, but the circumstances do not yet constitute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serious circumstances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described in the Criminal Code.</w:t>
      </w:r>
    </w:p>
    <w:p>
      <w:pPr>
        <w:numPr>
          <w:ilvl w:val="0"/>
          <w:numId w:val="1068"/>
        </w:numPr>
        <w:spacing w:after="120" w:line="312" w:lineRule="auto"/>
      </w:pPr>
      <w:r>
        <w:rPr>
          <w:rFonts w:ascii="DejaVu Serif" w:hAnsi="DejaVu Serif" w:eastAsia="Noto Serif CJK SC"/>
          <w:color w:val="000000"/>
          <w:sz w:val="22"/>
        </w:rPr>
        <w:t xml:space="preserve">Producing or selling police uniforms, vehicle license plates and other special signs, or police equipment, under unavoidable extraordinary circumstances, but the circumstances do not yet constitute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serious circumstances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described in the Criminal Code.</w:t>
      </w:r>
    </w:p>
    <w:p>
      <w:pPr>
        <w:numPr>
          <w:ilvl w:val="0"/>
          <w:numId w:val="1068"/>
        </w:numPr>
        <w:spacing w:after="120" w:line="312" w:lineRule="auto"/>
      </w:pPr>
      <w:r>
        <w:rPr>
          <w:rFonts w:ascii="DejaVu Serif" w:hAnsi="DejaVu Serif" w:eastAsia="Noto Serif CJK SC"/>
          <w:color w:val="000000"/>
          <w:sz w:val="22"/>
        </w:rPr>
        <w:t xml:space="preserve">Using special equipment for wiretapping or secret photography for necessary activities, but without causing the serious consequences as referred to in the Criminal Code and its judicial interpretations.</w:t>
      </w:r>
    </w:p>
    <w:p>
      <w:pPr>
        <w:numPr>
          <w:ilvl w:val="0"/>
          <w:numId w:val="1068"/>
        </w:numPr>
        <w:spacing w:after="120" w:line="312" w:lineRule="auto"/>
      </w:pPr>
      <w:r>
        <w:rPr>
          <w:rFonts w:ascii="DejaVu Serif" w:hAnsi="DejaVu Serif" w:eastAsia="Noto Serif CJK SC"/>
          <w:color w:val="000000"/>
          <w:sz w:val="22"/>
        </w:rPr>
        <w:t xml:space="preserve">To provide specialized programs or tools for intruding into or illegally controlling computer information systems, or to provide programs or tools to another person knowing that they are engaging in criminal or illegal activities of intruding into or illegally controlling computer information systems, but where the consequences have not yet reached the level of seriousness as stipulated in the Criminal Law and its judicial interpretations.</w:t>
      </w:r>
    </w:p>
    <w:p>
      <w:pPr>
        <w:numPr>
          <w:ilvl w:val="0"/>
          <w:numId w:val="1068"/>
        </w:numPr>
        <w:spacing w:after="120" w:line="312" w:lineRule="auto"/>
      </w:pPr>
      <w:r>
        <w:rPr>
          <w:rFonts w:ascii="DejaVu Serif" w:hAnsi="DejaVu Serif" w:eastAsia="Noto Serif CJK SC"/>
          <w:color w:val="000000"/>
          <w:sz w:val="22"/>
        </w:rPr>
        <w:t xml:space="preserve">In violation of state regulations, deleting, modifying, adding to, or interfering with the functions of a computer information system, causing the system to operate abnormally, but not yet constituting the circumstances deemed serious by the Criminal Law and its judicial interpretations.</w:t>
      </w:r>
    </w:p>
    <w:p>
      <w:pPr>
        <w:numPr>
          <w:ilvl w:val="0"/>
          <w:numId w:val="1068"/>
        </w:numPr>
        <w:spacing w:after="120" w:line="312" w:lineRule="auto"/>
      </w:pPr>
      <w:r>
        <w:rPr>
          <w:rFonts w:ascii="DejaVu Serif" w:hAnsi="DejaVu Serif" w:eastAsia="Noto Serif CJK SC"/>
          <w:color w:val="000000"/>
          <w:sz w:val="22"/>
        </w:rPr>
        <w:t xml:space="preserve">In violation of state regulations, performing deletion, modification, or addition operations on data or applications stored, processed, or transmitted in a computer information system, but not yet constituting the circumstances deemed serious by the Criminal Law and its judicial interpretations.</w:t>
      </w:r>
    </w:p>
    <w:p>
      <w:pPr>
        <w:numPr>
          <w:ilvl w:val="0"/>
          <w:numId w:val="1068"/>
        </w:numPr>
        <w:spacing w:after="120" w:line="312" w:lineRule="auto"/>
      </w:pPr>
      <w:r>
        <w:rPr>
          <w:rFonts w:ascii="DejaVu Serif" w:hAnsi="DejaVu Serif" w:eastAsia="Noto Serif CJK SC"/>
          <w:color w:val="000000"/>
          <w:sz w:val="22"/>
        </w:rPr>
        <w:t xml:space="preserve">Knowing that another person is using information networks to commit crimes, providing technical support such as internet access, server hosting, network storage, or communication transmission, or providing assistance such as advertising promotion or payment settlement, for their criminal activities.</w:t>
      </w:r>
    </w:p>
    <w:p>
      <w:pPr>
        <w:pStyle w:val="FirstParagraph"/>
        <w:spacing w:after="120" w:line="312" w:lineRule="auto"/>
      </w:pPr>
      <w:r>
        <w:rPr>
          <w:rFonts w:ascii="DejaVu Serif" w:hAnsi="DejaVu Serif" w:eastAsia="Noto Serif CJK SC"/>
          <w:color w:val="000000"/>
          <w:sz w:val="22"/>
        </w:rPr>
        <w:t xml:space="preserve">However, the circumstances have not yet constituted the serious circumstances as referred to in the Criminal Law and its judicial interpretations.</w:t>
      </w:r>
    </w:p>
    <w:p>
      <w:pPr>
        <w:numPr>
          <w:ilvl w:val="0"/>
          <w:numId w:val="1069"/>
        </w:numPr>
        <w:spacing w:after="120" w:line="312" w:lineRule="auto"/>
      </w:pPr>
      <w:r>
        <w:rPr>
          <w:rFonts w:ascii="DejaVu Serif" w:hAnsi="DejaVu Serif" w:eastAsia="Noto Serif CJK SC"/>
          <w:color w:val="000000"/>
          <w:sz w:val="22"/>
        </w:rPr>
        <w:t xml:space="preserve">Violating state regulations by擅自ly establishing or using a wireless radio station (station), or擅自ly using radio frequencies, thereby disrupting the order of radio communications, where the circumstances have not yet reached the level of seriousness referred to in the Criminal Law and its judicial interpretations.</w:t>
      </w:r>
    </w:p>
    <w:p>
      <w:pPr>
        <w:numPr>
          <w:ilvl w:val="0"/>
          <w:numId w:val="1069"/>
        </w:numPr>
        <w:spacing w:after="120" w:line="312" w:lineRule="auto"/>
      </w:pPr>
      <w:r>
        <w:rPr>
          <w:rFonts w:ascii="DejaVu Serif" w:hAnsi="DejaVu Serif" w:eastAsia="Noto Serif CJK SC"/>
          <w:color w:val="000000"/>
          <w:sz w:val="22"/>
        </w:rPr>
        <w:t xml:space="preserve">Throwing objects from buildings or other high places, where the circumstances are relatively minor (e.g., throwing objects that are not generally considered dangerous).</w:t>
      </w:r>
    </w:p>
    <w:p>
      <w:pPr>
        <w:numPr>
          <w:ilvl w:val="0"/>
          <w:numId w:val="1069"/>
        </w:numPr>
        <w:spacing w:after="120" w:line="312" w:lineRule="auto"/>
      </w:pPr>
      <w:r>
        <w:rPr>
          <w:rFonts w:ascii="DejaVu Serif" w:hAnsi="DejaVu Serif" w:eastAsia="Noto Serif CJK SC"/>
          <w:color w:val="000000"/>
          <w:sz w:val="22"/>
        </w:rPr>
        <w:t xml:space="preserve">To collect debts within legal limits (an interest rate of 24%) by means other than violence, coercion, restricting another person’s personal liberty, intruding into another person’s residence, intimidation, stalking, or harassment.</w:t>
      </w:r>
    </w:p>
    <w:p>
      <w:pPr>
        <w:numPr>
          <w:ilvl w:val="0"/>
          <w:numId w:val="1069"/>
        </w:numPr>
        <w:spacing w:after="120" w:line="312" w:lineRule="auto"/>
      </w:pPr>
      <w:r>
        <w:rPr>
          <w:rFonts w:ascii="DejaVu Serif" w:hAnsi="DejaVu Serif" w:eastAsia="Noto Serif CJK SC"/>
          <w:color w:val="000000"/>
          <w:sz w:val="22"/>
        </w:rPr>
        <w:t xml:space="preserve">Organize conferences such as legal theory and practice seminars.</w:t>
      </w:r>
    </w:p>
    <w:p>
      <w:pPr>
        <w:numPr>
          <w:ilvl w:val="0"/>
          <w:numId w:val="1069"/>
        </w:numPr>
        <w:spacing w:after="120" w:line="312" w:lineRule="auto"/>
      </w:pPr>
      <w:r>
        <w:rPr>
          <w:rFonts w:ascii="DejaVu Serif" w:hAnsi="DejaVu Serif" w:eastAsia="Noto Serif CJK SC"/>
          <w:color w:val="000000"/>
          <w:sz w:val="22"/>
        </w:rPr>
        <w:t xml:space="preserve">The national flag, national emblem, or national anthem of the People’s Republic of China may be used in private settings by means of burning, damaging, defacing, desecrating, trampling, or other methods; the lyrics or musical score of the national anthem may be altered; the national anthem may be performed in a non-distorted and non-demeaning manner; or the national anthem may be used in other ways.</w:t>
      </w:r>
    </w:p>
    <w:p>
      <w:pPr>
        <w:numPr>
          <w:ilvl w:val="0"/>
          <w:numId w:val="1069"/>
        </w:numPr>
        <w:spacing w:after="120" w:line="312" w:lineRule="auto"/>
      </w:pPr>
      <w:r>
        <w:rPr>
          <w:rFonts w:ascii="DejaVu Serif" w:hAnsi="DejaVu Serif" w:eastAsia="Noto Serif CJK SC"/>
          <w:color w:val="000000"/>
          <w:sz w:val="22"/>
        </w:rPr>
        <w:t xml:space="preserve">Insulting or slandering heroes and martyrs in private or by other means, thereby infringing upon their reputation and honor and harming the public interest, where the circumstances are not yet serious. (The determination shall be made by comprehensively considering the manner of the act, the number of heroes and martyrs involved, the quantity of related information, the methods and scope of dissemination, the duration of dissemination, the actual number of clicks, views, and forwards of the related information, the social impact caused, the harmful consequences, the offender’s prior record, and attitude towards admitting guilt and showing remorse.)</w:t>
      </w:r>
    </w:p>
    <w:p>
      <w:pPr>
        <w:numPr>
          <w:ilvl w:val="0"/>
          <w:numId w:val="1069"/>
        </w:numPr>
        <w:spacing w:after="120" w:line="312" w:lineRule="auto"/>
      </w:pPr>
      <w:r>
        <w:rPr>
          <w:rFonts w:ascii="DejaVu Serif" w:hAnsi="DejaVu Serif" w:eastAsia="Noto Serif CJK SC"/>
          <w:color w:val="000000"/>
          <w:sz w:val="22"/>
        </w:rPr>
        <w:t xml:space="preserve">Unintentional destruction of a corpse, bones, or ashes.</w:t>
      </w:r>
    </w:p>
    <w:p>
      <w:pPr>
        <w:numPr>
          <w:ilvl w:val="0"/>
          <w:numId w:val="1069"/>
        </w:numPr>
        <w:spacing w:after="120" w:line="312" w:lineRule="auto"/>
      </w:pPr>
      <w:r>
        <w:rPr>
          <w:rFonts w:ascii="DejaVu Serif" w:hAnsi="DejaVu Serif" w:eastAsia="Noto Serif CJK SC"/>
          <w:color w:val="000000"/>
          <w:sz w:val="22"/>
        </w:rPr>
        <w:t xml:space="preserve">To assemble a crowd for gambling for non-profit purposes.</w:t>
      </w:r>
    </w:p>
    <w:p>
      <w:pPr>
        <w:numPr>
          <w:ilvl w:val="0"/>
          <w:numId w:val="1069"/>
        </w:numPr>
        <w:spacing w:after="120" w:line="312" w:lineRule="auto"/>
      </w:pPr>
      <w:r>
        <w:rPr>
          <w:rFonts w:ascii="DejaVu Serif" w:hAnsi="DejaVu Serif" w:eastAsia="Noto Serif CJK SC"/>
          <w:color w:val="000000"/>
          <w:sz w:val="22"/>
        </w:rPr>
        <w:t xml:space="preserve">To initiate a civil action based on fabricated facts, but without actually obstructing the judicial order or seriously infringing upon the lawful rights and interests of others.</w:t>
      </w:r>
    </w:p>
    <w:p>
      <w:pPr>
        <w:numPr>
          <w:ilvl w:val="0"/>
          <w:numId w:val="1069"/>
        </w:numPr>
        <w:spacing w:after="120" w:line="312" w:lineRule="auto"/>
      </w:pPr>
      <w:r>
        <w:rPr>
          <w:rFonts w:ascii="DejaVu Serif" w:hAnsi="DejaVu Serif" w:eastAsia="Noto Serif CJK SC"/>
          <w:color w:val="000000"/>
          <w:sz w:val="22"/>
        </w:rPr>
        <w:t xml:space="preserve">Knowing that another person has committed espionage or terrorism/extremism crimes, but refusing to provide relevant information or evidence when the judicial authorities investigate the circumstances or collect evidence, provided that this does not constitute the circumstance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serious situation.</w:t>
      </w:r>
      <w:r>
        <w:rPr>
          <w:rFonts w:ascii="DejaVu Serif" w:hAnsi="DejaVu Serif" w:eastAsia="Noto Serif CJK SC"/>
          <w:color w:val="000000"/>
          <w:sz w:val="22"/>
        </w:rPr>
        <w:t xml:space="preserve">”</w:t>
      </w:r>
    </w:p>
    <w:p>
      <w:pPr>
        <w:numPr>
          <w:ilvl w:val="0"/>
          <w:numId w:val="1069"/>
        </w:numPr>
        <w:spacing w:after="120" w:line="312" w:lineRule="auto"/>
      </w:pPr>
      <w:r>
        <w:rPr>
          <w:rFonts w:ascii="DejaVu Serif" w:hAnsi="DejaVu Serif" w:eastAsia="Noto Serif CJK SC"/>
          <w:color w:val="000000"/>
          <w:sz w:val="22"/>
        </w:rPr>
        <w:t xml:space="preserve">Not knowingly concealing, transferring, purchasing, selling on behalf of another, or otherwise disguising or hiding criminal proceeds or their derived benefits, or being deceived into believing that they are not criminal proceeds or their derived benefits and taking such actions.</w:t>
      </w:r>
    </w:p>
    <w:p>
      <w:pPr>
        <w:numPr>
          <w:ilvl w:val="0"/>
          <w:numId w:val="1069"/>
        </w:numPr>
        <w:spacing w:after="120" w:line="312" w:lineRule="auto"/>
      </w:pPr>
      <w:r>
        <w:rPr>
          <w:rFonts w:ascii="DejaVu Serif" w:hAnsi="DejaVu Serif" w:eastAsia="Noto Serif CJK SC"/>
          <w:color w:val="000000"/>
          <w:sz w:val="22"/>
        </w:rPr>
        <w:t xml:space="preserve">Failure to execute a judgment or ruling of the People’s Court, but involving one of the following circumstances:</w:t>
      </w:r>
    </w:p>
    <w:p>
      <w:pPr>
        <w:numPr>
          <w:ilvl w:val="0"/>
          <w:numId w:val="1070"/>
        </w:numPr>
        <w:spacing w:after="120" w:line="312" w:lineRule="auto"/>
      </w:pPr>
      <w:r>
        <w:rPr>
          <w:rFonts w:ascii="DejaVu Serif" w:hAnsi="DejaVu Serif" w:eastAsia="Noto Serif CJK SC"/>
          <w:color w:val="000000"/>
          <w:sz w:val="22"/>
        </w:rPr>
        <w:t xml:space="preserve">That which is refused to be executed due to an objective, legal, or factual temporary inability to do so;</w:t>
      </w:r>
    </w:p>
    <w:p>
      <w:pPr>
        <w:numPr>
          <w:ilvl w:val="0"/>
          <w:numId w:val="1070"/>
        </w:numPr>
        <w:spacing w:after="120" w:line="312" w:lineRule="auto"/>
      </w:pPr>
      <w:r>
        <w:rPr>
          <w:rFonts w:ascii="DejaVu Serif" w:hAnsi="DejaVu Serif" w:eastAsia="Noto Serif CJK SC"/>
          <w:color w:val="000000"/>
          <w:sz w:val="22"/>
        </w:rPr>
        <w:t xml:space="preserve">Where an unforeseen circumstance arises rendering an originally enforceable judgment or order unenforceable;</w:t>
      </w:r>
    </w:p>
    <w:p>
      <w:pPr>
        <w:numPr>
          <w:ilvl w:val="0"/>
          <w:numId w:val="1070"/>
        </w:numPr>
        <w:spacing w:after="120" w:line="312" w:lineRule="auto"/>
      </w:pPr>
      <w:r>
        <w:rPr>
          <w:rFonts w:ascii="DejaVu Serif" w:hAnsi="DejaVu Serif" w:eastAsia="Noto Serif CJK SC"/>
          <w:color w:val="000000"/>
          <w:sz w:val="22"/>
        </w:rPr>
        <w:t xml:space="preserve">Inability to perform due to factors such as insufficient capital recovery, earthquakes, fires, floods, communication failures, or the absence of the party concerned;</w:t>
      </w:r>
    </w:p>
    <w:p>
      <w:pPr>
        <w:numPr>
          <w:ilvl w:val="0"/>
          <w:numId w:val="1070"/>
        </w:numPr>
        <w:spacing w:after="120" w:line="312" w:lineRule="auto"/>
      </w:pPr>
      <w:r>
        <w:rPr>
          <w:rFonts w:ascii="DejaVu Serif" w:hAnsi="DejaVu Serif" w:eastAsia="Noto Serif CJK SC"/>
          <w:color w:val="000000"/>
          <w:sz w:val="22"/>
        </w:rPr>
        <w:t xml:space="preserve">Where performance of a judgment or order may subject the person’s life, survival, body, health, or other such interests to an imminent threat, and non-performance is temporarily undertaken to ensure the said interests are not infringed;</w:t>
      </w:r>
    </w:p>
    <w:p>
      <w:pPr>
        <w:numPr>
          <w:ilvl w:val="0"/>
          <w:numId w:val="1070"/>
        </w:numPr>
        <w:spacing w:after="120" w:line="312" w:lineRule="auto"/>
      </w:pPr>
      <w:r>
        <w:rPr>
          <w:rFonts w:ascii="DejaVu Serif" w:hAnsi="DejaVu Serif" w:eastAsia="Noto Serif CJK SC"/>
          <w:color w:val="000000"/>
          <w:sz w:val="22"/>
        </w:rPr>
        <w:t xml:space="preserve">Other circumstances of minor nature.</w:t>
      </w:r>
    </w:p>
    <w:p>
      <w:pPr>
        <w:numPr>
          <w:ilvl w:val="0"/>
          <w:numId w:val="1071"/>
        </w:numPr>
        <w:spacing w:after="120" w:line="312" w:lineRule="auto"/>
      </w:pPr>
      <w:r>
        <w:rPr>
          <w:rFonts w:ascii="DejaVu Serif" w:hAnsi="DejaVu Serif" w:eastAsia="Noto Serif CJK SC"/>
          <w:color w:val="000000"/>
          <w:sz w:val="22"/>
        </w:rPr>
        <w:t xml:space="preserve">Concealing, transferring, selling, or intentionally destroying property that has been sealed, seized, or frozen by a judicial authority, but where the circumstances do not constitute the circumstances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seriousness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w:t>
      </w:r>
    </w:p>
    <w:p>
      <w:pPr>
        <w:numPr>
          <w:ilvl w:val="0"/>
          <w:numId w:val="1071"/>
        </w:numPr>
        <w:spacing w:after="120" w:line="312" w:lineRule="auto"/>
      </w:pPr>
      <w:r>
        <w:rPr>
          <w:rFonts w:ascii="DejaVu Serif" w:hAnsi="DejaVu Serif" w:eastAsia="Noto Serif CJK SC"/>
          <w:color w:val="000000"/>
          <w:sz w:val="22"/>
        </w:rPr>
        <w:t xml:space="preserve">Violating laws and regulations concerning border control by illegally crossing a national border, but where the circumstances do not constitute the circumstances of gravity as stipulated in the Criminal Law.</w:t>
      </w:r>
    </w:p>
    <w:p>
      <w:pPr>
        <w:numPr>
          <w:ilvl w:val="0"/>
          <w:numId w:val="1071"/>
        </w:numPr>
        <w:spacing w:after="120" w:line="312" w:lineRule="auto"/>
      </w:pPr>
      <w:r>
        <w:rPr>
          <w:rFonts w:ascii="DejaVu Serif" w:hAnsi="DejaVu Serif" w:eastAsia="Noto Serif CJK SC"/>
          <w:color w:val="000000"/>
          <w:sz w:val="22"/>
        </w:rPr>
        <w:t xml:space="preserve">Damaging nationally protected scenic and historical sites, but where the circumstances do not constitute the circumstances of being</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serious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w:t>
      </w:r>
    </w:p>
    <w:p>
      <w:pPr>
        <w:numPr>
          <w:ilvl w:val="0"/>
          <w:numId w:val="1071"/>
        </w:numPr>
        <w:spacing w:after="120" w:line="312" w:lineRule="auto"/>
      </w:pPr>
      <w:r>
        <w:rPr>
          <w:rFonts w:ascii="DejaVu Serif" w:hAnsi="DejaVu Serif" w:eastAsia="Noto Serif CJK SC"/>
          <w:color w:val="000000"/>
          <w:sz w:val="22"/>
        </w:rPr>
        <w:t xml:space="preserve">Negligently damaging precious cultural relics protected by the State or cultural relics designated as key national cultural relic protection units or provincial-level cultural relic protection units, where no serious consequences have yet occurred.</w:t>
      </w:r>
    </w:p>
    <w:p>
      <w:pPr>
        <w:numPr>
          <w:ilvl w:val="0"/>
          <w:numId w:val="1071"/>
        </w:numPr>
        <w:spacing w:after="120" w:line="312" w:lineRule="auto"/>
      </w:pPr>
      <w:r>
        <w:rPr>
          <w:rFonts w:ascii="DejaVu Serif" w:hAnsi="DejaVu Serif" w:eastAsia="Noto Serif CJK SC"/>
          <w:color w:val="000000"/>
          <w:sz w:val="22"/>
        </w:rPr>
        <w:t xml:space="preserve">For the purpose of profit, trafficking in cultural relics prohibited from being operated by the State, where the circumstances do not constitute the circumstances of being</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serious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w:t>
      </w:r>
    </w:p>
    <w:p>
      <w:pPr>
        <w:numPr>
          <w:ilvl w:val="0"/>
          <w:numId w:val="1071"/>
        </w:numPr>
        <w:spacing w:after="120" w:line="312" w:lineRule="auto"/>
      </w:pPr>
      <w:r>
        <w:rPr>
          <w:rFonts w:ascii="DejaVu Serif" w:hAnsi="DejaVu Serif" w:eastAsia="Noto Serif CJK SC"/>
          <w:color w:val="000000"/>
          <w:sz w:val="22"/>
        </w:rPr>
        <w:t xml:space="preserve">To refuse to implement the prevention and control measures proposed by a people’s government at or above the county level or a disease prevention and control institution in accordance with the Law on the Prevention and Control of Infectious Diseases, provided that this does not yet cause the spread of Category A infectious diseases or infectious diseases for which Category A prevention and control measures have been determined in accordance with the law, nor does it create a serious danger of their spread.</w:t>
      </w:r>
    </w:p>
    <w:p>
      <w:pPr>
        <w:numPr>
          <w:ilvl w:val="0"/>
          <w:numId w:val="1071"/>
        </w:numPr>
        <w:spacing w:after="120" w:line="312" w:lineRule="auto"/>
      </w:pPr>
      <w:r>
        <w:rPr>
          <w:rFonts w:ascii="DejaVu Serif" w:hAnsi="DejaVu Serif" w:eastAsia="Noto Serif CJK SC"/>
          <w:color w:val="000000"/>
          <w:sz w:val="22"/>
        </w:rPr>
        <w:t xml:space="preserve">Personnel engaged in the experimentation, preservation, carrying, or transportation of infectious disease germs and virulent strains who violate the relevant provisions of the health administrative department of the State Council, causing the spread of infectious disease germs and virulent strains, where the consequences are not yet serious.</w:t>
      </w:r>
    </w:p>
    <w:p>
      <w:pPr>
        <w:numPr>
          <w:ilvl w:val="0"/>
          <w:numId w:val="1071"/>
        </w:numPr>
        <w:spacing w:after="120" w:line="312" w:lineRule="auto"/>
      </w:pPr>
      <w:r>
        <w:rPr>
          <w:rFonts w:ascii="DejaVu Serif" w:hAnsi="DejaVu Serif" w:eastAsia="Noto Serif CJK SC"/>
          <w:color w:val="000000"/>
          <w:sz w:val="22"/>
        </w:rPr>
        <w:t xml:space="preserve">Violating border health quarantine regulations, but without causing the spread of quarantinable infectious diseases, nor posing a serious risk of transmission.</w:t>
      </w:r>
    </w:p>
    <w:p>
      <w:pPr>
        <w:pStyle w:val="FirstParagraph"/>
        <w:spacing w:after="120" w:line="312" w:lineRule="auto"/>
      </w:pPr>
      <w:r>
        <w:rPr>
          <w:rFonts w:ascii="DejaVu Serif" w:hAnsi="DejaVu Serif" w:eastAsia="Noto Serif CJK SC"/>
          <w:color w:val="000000"/>
          <w:sz w:val="22"/>
        </w:rPr>
        <w:t xml:space="preserve">Illegal collection or supply of blood, or the manufacture or supply of blood products, that does not conform to national standards,</w:t>
      </w:r>
    </w:p>
    <w:p>
      <w:pPr>
        <w:pStyle w:val="BodyText"/>
        <w:spacing w:after="120" w:line="312" w:lineRule="auto"/>
      </w:pPr>
      <w:r>
        <w:rPr>
          <w:rFonts w:ascii="DejaVu Serif" w:hAnsi="DejaVu Serif" w:eastAsia="Noto Serif CJK SC"/>
          <w:color w:val="000000"/>
          <w:sz w:val="22"/>
        </w:rPr>
        <w:t xml:space="preserve">Insufficient to endanger human health.</w:t>
      </w:r>
    </w:p>
    <w:p>
      <w:pPr>
        <w:numPr>
          <w:ilvl w:val="0"/>
          <w:numId w:val="1072"/>
        </w:numPr>
        <w:spacing w:after="120" w:line="312" w:lineRule="auto"/>
      </w:pPr>
      <w:r>
        <w:rPr>
          <w:rFonts w:ascii="DejaVu Serif" w:hAnsi="DejaVu Serif" w:eastAsia="Noto Serif CJK SC"/>
          <w:color w:val="000000"/>
          <w:sz w:val="22"/>
        </w:rPr>
        <w:t xml:space="preserve">In violation of relevant state provisions, the illegal collection of our country’s human genetic resources, or the illegal transport, mailing, or carrying of materials of our country’s human genetic resources out of the country, where it does not yet endanger public health or the public interest, and where the circumstances do not constitute the circumstances of being</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serious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w:t>
      </w:r>
    </w:p>
    <w:p>
      <w:pPr>
        <w:numPr>
          <w:ilvl w:val="0"/>
          <w:numId w:val="1072"/>
        </w:numPr>
        <w:spacing w:after="120" w:line="312" w:lineRule="auto"/>
      </w:pPr>
      <w:r>
        <w:rPr>
          <w:rFonts w:ascii="DejaVu Serif" w:hAnsi="DejaVu Serif" w:eastAsia="Noto Serif CJK SC"/>
          <w:color w:val="000000"/>
          <w:sz w:val="22"/>
        </w:rPr>
        <w:t xml:space="preserve">Medical personnel who cause the death of a patient or serious harm to the patient’s health, but have fulfilled their reasonable duty of care.</w:t>
      </w:r>
    </w:p>
    <w:p>
      <w:pPr>
        <w:numPr>
          <w:ilvl w:val="0"/>
          <w:numId w:val="1072"/>
        </w:numPr>
        <w:spacing w:after="120" w:line="312" w:lineRule="auto"/>
      </w:pPr>
      <w:r>
        <w:rPr>
          <w:rFonts w:ascii="DejaVu Serif" w:hAnsi="DejaVu Serif" w:eastAsia="Noto Serif CJK SC"/>
          <w:color w:val="000000"/>
          <w:sz w:val="22"/>
        </w:rPr>
        <w:t xml:space="preserve">The practice of medicine by a person who has not obtained a medical license shall not be deemed to constitute the circumstance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serious circumstances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w:t>
      </w:r>
    </w:p>
    <w:p>
      <w:pPr>
        <w:numPr>
          <w:ilvl w:val="0"/>
          <w:numId w:val="1072"/>
        </w:numPr>
        <w:spacing w:after="120" w:line="312" w:lineRule="auto"/>
      </w:pPr>
      <w:r>
        <w:rPr>
          <w:rFonts w:ascii="DejaVu Serif" w:hAnsi="DejaVu Serif" w:eastAsia="Noto Serif CJK SC"/>
          <w:color w:val="000000"/>
          <w:sz w:val="22"/>
        </w:rPr>
        <w:t xml:space="preserve">A person who has not obtained a medical practitioner’s license performs sterilization reversal surgery, sterilization surgery, pregnancy termination surgery, or removes an intrauterine device for another person, but the circumstances cannot yet be deemed as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serious circumstances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w:t>
      </w:r>
    </w:p>
    <w:p>
      <w:pPr>
        <w:numPr>
          <w:ilvl w:val="0"/>
          <w:numId w:val="1072"/>
        </w:numPr>
        <w:spacing w:after="120" w:line="312" w:lineRule="auto"/>
      </w:pPr>
      <w:r>
        <w:rPr>
          <w:rFonts w:ascii="DejaVu Serif" w:hAnsi="DejaVu Serif" w:eastAsia="Noto Serif CJK SC"/>
          <w:color w:val="000000"/>
          <w:sz w:val="22"/>
        </w:rPr>
        <w:t xml:space="preserve">To implant gene-edited or cloned human embryos into a human or animal body, or to gene-edit</w:t>
      </w:r>
    </w:p>
    <w:p>
      <w:pPr>
        <w:numPr>
          <w:ilvl w:val="0"/>
          <w:numId w:val="1072"/>
        </w:numPr>
        <w:spacing w:after="120" w:line="312" w:lineRule="auto"/>
      </w:pPr>
      <w:r>
        <w:rPr>
          <w:rFonts w:ascii="DejaVu Serif" w:hAnsi="DejaVu Serif" w:eastAsia="Noto Serif CJK SC"/>
          <w:color w:val="000000"/>
          <w:sz w:val="22"/>
        </w:rPr>
        <w:t xml:space="preserve">Animal embryos cloned and implanted into the human body, but which cannot yet be deemed as the circumstance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serious circumstances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 132. In violation of national regulations concerning animal and plant epidemic prevention and quarantine, causing major animal and plant epidemics, or posing a risk of causing major animal and plant epidemics, but which cannot yet be deemed as the circumstance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serious circumstances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 133. Although there is a violation of national regulations in discharging, dumping, or disposing of waste, but it falls under any of the following circumstances:</w:t>
      </w:r>
    </w:p>
    <w:p>
      <w:pPr>
        <w:pStyle w:val="FirstParagraph"/>
        <w:spacing w:after="120" w:line="312" w:lineRule="auto"/>
      </w:pPr>
      <w:r>
        <w:rPr>
          <w:rFonts w:ascii="DejaVu Serif" w:hAnsi="DejaVu Serif" w:eastAsia="Noto Serif CJK SC"/>
          <w:color w:val="000000"/>
          <w:sz w:val="22"/>
        </w:rPr>
        <w:t xml:space="preserve">Sub-item 1. The waste involved is general household refuse.</w:t>
      </w:r>
    </w:p>
    <w:p>
      <w:pPr>
        <w:pStyle w:val="BodyText"/>
        <w:spacing w:after="120" w:line="312" w:lineRule="auto"/>
      </w:pPr>
      <w:r>
        <w:rPr>
          <w:rFonts w:ascii="DejaVu Serif" w:hAnsi="DejaVu Serif" w:eastAsia="Noto Serif CJK SC"/>
          <w:color w:val="000000"/>
          <w:sz w:val="22"/>
        </w:rPr>
        <w:t xml:space="preserve">Sub-item 2. The waste involved, although radioactive, containing infectious pathogens, toxic substances, or other harmful substances, has not yet reached the level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serious environmental pollution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determined by criminal law.</w:t>
      </w:r>
    </w:p>
    <w:p>
      <w:pPr>
        <w:numPr>
          <w:ilvl w:val="0"/>
          <w:numId w:val="1073"/>
        </w:numPr>
        <w:spacing w:after="120" w:line="312" w:lineRule="auto"/>
      </w:pPr>
      <w:r>
        <w:rPr>
          <w:rFonts w:ascii="DejaVu Serif" w:hAnsi="DejaVu Serif" w:eastAsia="Noto Serif CJK SC"/>
          <w:color w:val="000000"/>
          <w:sz w:val="22"/>
        </w:rPr>
        <w:t xml:space="preserve">Violating regulations for the protection of aquatic resources by fishing in prohibited areas or during prohibited periods, or by using prohibited tools or methods to catch aquatic products, but where the circumstances cannot yet be deemed as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serious circumstances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w:t>
      </w:r>
    </w:p>
    <w:p>
      <w:pPr>
        <w:numPr>
          <w:ilvl w:val="0"/>
          <w:numId w:val="1073"/>
        </w:numPr>
        <w:spacing w:after="120" w:line="312" w:lineRule="auto"/>
      </w:pPr>
      <w:r>
        <w:rPr>
          <w:rFonts w:ascii="DejaVu Serif" w:hAnsi="DejaVu Serif" w:eastAsia="Noto Serif CJK SC"/>
          <w:color w:val="000000"/>
          <w:sz w:val="22"/>
        </w:rPr>
        <w:t xml:space="preserve">Hunting or killing precious, non-endangered wild animals or plants that are not under key state protection, or purchasing, transporting, or selling wild animals or plants, or their products, that are neither precious nor endangered and not under key state protection.</w:t>
      </w:r>
    </w:p>
    <w:p>
      <w:pPr>
        <w:numPr>
          <w:ilvl w:val="0"/>
          <w:numId w:val="1073"/>
        </w:numPr>
        <w:spacing w:after="120" w:line="312" w:lineRule="auto"/>
      </w:pPr>
      <w:r>
        <w:rPr>
          <w:rFonts w:ascii="DejaVu Serif" w:hAnsi="DejaVu Serif" w:eastAsia="Noto Serif CJK SC"/>
          <w:color w:val="000000"/>
          <w:sz w:val="22"/>
        </w:rPr>
        <w:t xml:space="preserve">Although in violation of hunting regulations, hunting in a no-hunting zone or during a no-hunting period, or using prohibited tools or methods, thereby damaging wildlife resources, but the circumstances are minor.</w:t>
      </w:r>
    </w:p>
    <w:p>
      <w:pPr>
        <w:numPr>
          <w:ilvl w:val="0"/>
          <w:numId w:val="1073"/>
        </w:numPr>
        <w:spacing w:after="120" w:line="312" w:lineRule="auto"/>
      </w:pPr>
      <w:r>
        <w:rPr>
          <w:rFonts w:ascii="DejaVu Serif" w:hAnsi="DejaVu Serif" w:eastAsia="Noto Serif CJK SC"/>
          <w:color w:val="000000"/>
          <w:sz w:val="22"/>
        </w:rPr>
        <w:t xml:space="preserve">Violating wildlife protection and management regulations by illegally hunting, purchasing, transporting, or selling for the purpose of consumption terrestrial wildlife that naturally grow and breed in the wild environment, other than those specified in the first paragraph, where the circumstances are minor.</w:t>
      </w:r>
    </w:p>
    <w:p>
      <w:pPr>
        <w:numPr>
          <w:ilvl w:val="0"/>
          <w:numId w:val="1073"/>
        </w:numPr>
        <w:spacing w:after="120" w:line="312" w:lineRule="auto"/>
      </w:pPr>
      <w:r>
        <w:rPr>
          <w:rFonts w:ascii="DejaVu Serif" w:hAnsi="DejaVu Serif" w:eastAsia="Noto Serif CJK SC"/>
          <w:color w:val="000000"/>
          <w:sz w:val="22"/>
        </w:rPr>
        <w:t xml:space="preserve">In violation of land administration regulations, illegally occupying agricultural land such as cultivated land and forest land, and changing the use of the occupied land, but</w:t>
      </w:r>
    </w:p>
    <w:p>
      <w:pPr>
        <w:pStyle w:val="Compact"/>
        <w:numPr>
          <w:ilvl w:val="0"/>
          <w:numId w:val="1074"/>
        </w:numPr>
        <w:spacing w:after="120" w:line="312" w:lineRule="auto"/>
      </w:pPr>
      <w:r>
        <w:rPr>
          <w:rFonts w:ascii="DejaVu Serif" w:hAnsi="DejaVu Serif" w:eastAsia="Noto Serif CJK SC"/>
          <w:color w:val="000000"/>
          <w:sz w:val="22"/>
        </w:rPr>
        <w:t xml:space="preserve">A smaller quantity</w:t>
      </w:r>
    </w:p>
    <w:p>
      <w:pPr>
        <w:pStyle w:val="Compact"/>
        <w:numPr>
          <w:ilvl w:val="0"/>
          <w:numId w:val="1075"/>
        </w:numPr>
        <w:spacing w:after="120" w:line="312" w:lineRule="auto"/>
      </w:pPr>
      <w:r>
        <w:rPr>
          <w:rFonts w:ascii="DejaVu Serif" w:hAnsi="DejaVu Serif" w:eastAsia="Noto Serif CJK SC"/>
          <w:color w:val="000000"/>
          <w:sz w:val="22"/>
        </w:rPr>
        <w:t xml:space="preserve">Causing</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minor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damage to agricultural land such as farmland and forest land.</w:t>
      </w:r>
    </w:p>
    <w:p>
      <w:pPr>
        <w:pStyle w:val="Compact"/>
        <w:numPr>
          <w:ilvl w:val="0"/>
          <w:numId w:val="1076"/>
        </w:numPr>
        <w:spacing w:after="120" w:line="312" w:lineRule="auto"/>
      </w:pPr>
      <w:r>
        <w:rPr>
          <w:rFonts w:ascii="DejaVu Serif" w:hAnsi="DejaVu Serif" w:eastAsia="Noto Serif CJK SC"/>
          <w:color w:val="000000"/>
          <w:sz w:val="22"/>
        </w:rPr>
        <w:t xml:space="preserve">Although in violation of nature reserve management regulations, to carry out reclamation,</w:t>
      </w:r>
    </w:p>
    <w:p>
      <w:pPr>
        <w:pStyle w:val="FirstParagraph"/>
        <w:spacing w:after="120" w:line="312" w:lineRule="auto"/>
      </w:pPr>
      <w:r>
        <w:rPr>
          <w:rFonts w:ascii="DejaVu Serif" w:hAnsi="DejaVu Serif" w:eastAsia="Noto Serif CJK SC"/>
          <w:color w:val="000000"/>
          <w:sz w:val="22"/>
        </w:rPr>
        <w:t xml:space="preserve">Development activities or construction of buildings, but</w:t>
      </w:r>
    </w:p>
    <w:p>
      <w:pPr>
        <w:numPr>
          <w:ilvl w:val="0"/>
          <w:numId w:val="1077"/>
        </w:numPr>
        <w:spacing w:after="120" w:line="312" w:lineRule="auto"/>
      </w:pPr>
      <w:r>
        <w:rPr>
          <w:rFonts w:ascii="DejaVu Serif" w:hAnsi="DejaVu Serif" w:eastAsia="Noto Serif CJK SC"/>
          <w:color w:val="000000"/>
          <w:sz w:val="22"/>
        </w:rPr>
        <w:t xml:space="preserve">Has not yet caused serious consequences.</w:t>
      </w:r>
    </w:p>
    <w:p>
      <w:pPr>
        <w:numPr>
          <w:ilvl w:val="0"/>
          <w:numId w:val="1077"/>
        </w:numPr>
        <w:spacing w:after="120" w:line="312" w:lineRule="auto"/>
      </w:pPr>
      <w:r>
        <w:rPr>
          <w:rFonts w:ascii="DejaVu Serif" w:hAnsi="DejaVu Serif" w:eastAsia="Noto Serif CJK SC"/>
          <w:color w:val="000000"/>
          <w:sz w:val="22"/>
        </w:rPr>
        <w:t xml:space="preserve">Other aggravating circumstances not expressly stipulated in the Criminal Law or its judicial interpretations. 139. Violating the provisions of the Mineral Resources Law by mining without a mining license, entering the national planned mining area, the mining area of important value to the national economy, or the mining area of others without authorization, or mining the specific mineral species subject to protective exploitation as stipulated by the state, but which cannot yet be deemed as the circumstance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serious circumstances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w:t>
      </w:r>
    </w:p>
    <w:p>
      <w:pPr>
        <w:numPr>
          <w:ilvl w:val="0"/>
          <w:numId w:val="1078"/>
        </w:numPr>
        <w:spacing w:after="120" w:line="312" w:lineRule="auto"/>
      </w:pPr>
      <w:r>
        <w:rPr>
          <w:rFonts w:ascii="DejaVu Serif" w:hAnsi="DejaVu Serif" w:eastAsia="Noto Serif CJK SC"/>
          <w:color w:val="000000"/>
          <w:sz w:val="22"/>
        </w:rPr>
        <w:t xml:space="preserve">In violation of the provisions of the Mineral Resources Law, employing destructive mining methods to exploit mineral resources, resulting in minor damage to the mineral resources.</w:t>
      </w:r>
    </w:p>
    <w:p>
      <w:pPr>
        <w:numPr>
          <w:ilvl w:val="0"/>
          <w:numId w:val="1078"/>
        </w:numPr>
        <w:spacing w:after="120" w:line="312" w:lineRule="auto"/>
      </w:pPr>
      <w:r>
        <w:rPr>
          <w:rFonts w:ascii="DejaVu Serif" w:hAnsi="DejaVu Serif" w:eastAsia="Noto Serif CJK SC"/>
          <w:color w:val="000000"/>
          <w:sz w:val="22"/>
        </w:rPr>
        <w:t xml:space="preserve">Felling forests or other trees, in a small quantity.</w:t>
      </w:r>
    </w:p>
    <w:p>
      <w:pPr>
        <w:numPr>
          <w:ilvl w:val="0"/>
          <w:numId w:val="1078"/>
        </w:numPr>
        <w:spacing w:after="120" w:line="312" w:lineRule="auto"/>
      </w:pPr>
      <w:r>
        <w:rPr>
          <w:rFonts w:ascii="DejaVu Serif" w:hAnsi="DejaVu Serif" w:eastAsia="Noto Serif CJK SC"/>
          <w:color w:val="000000"/>
          <w:sz w:val="22"/>
        </w:rPr>
        <w:t xml:space="preserve">Under no circumstances shall drugs and their raw plants be held, bought, sold, transported, carried, or injected within the territory of the People’s Republic of China, nor shall one induce, abet, deceive, coerce, or provide shelter for others to use drugs, nor shall one illegally provide narcotic or psychotropic drugs.</w:t>
      </w:r>
    </w:p>
    <w:p>
      <w:pPr>
        <w:numPr>
          <w:ilvl w:val="0"/>
          <w:numId w:val="1078"/>
        </w:numPr>
        <w:spacing w:after="120" w:line="312" w:lineRule="auto"/>
      </w:pPr>
      <w:r>
        <w:rPr>
          <w:rFonts w:ascii="DejaVu Serif" w:hAnsi="DejaVu Serif" w:eastAsia="Noto Serif CJK SC"/>
          <w:color w:val="000000"/>
          <w:sz w:val="22"/>
        </w:rPr>
        <w:t xml:space="preserve">In principle, viewing</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short film</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videos is permissible when the following conditions are met simultaneously: 1. No call has been made for others to watch (it does not count if others come of their own accord).</w:t>
      </w:r>
    </w:p>
    <w:p>
      <w:pPr>
        <w:numPr>
          <w:ilvl w:val="0"/>
          <w:numId w:val="1078"/>
        </w:numPr>
        <w:spacing w:after="120" w:line="312" w:lineRule="auto"/>
      </w:pPr>
      <w:r>
        <w:rPr>
          <w:rFonts w:ascii="DejaVu Serif" w:hAnsi="DejaVu Serif" w:eastAsia="Noto Serif CJK SC"/>
          <w:color w:val="000000"/>
          <w:sz w:val="22"/>
        </w:rPr>
        <w:t xml:space="preserve">Not being in a public place, or at least not having the intent to be in a public place with a large number of other people to watch together.</w:t>
      </w:r>
    </w:p>
    <w:p>
      <w:pPr>
        <w:numPr>
          <w:ilvl w:val="0"/>
          <w:numId w:val="1078"/>
        </w:numPr>
        <w:spacing w:after="120" w:line="312" w:lineRule="auto"/>
      </w:pPr>
      <w:r>
        <w:rPr>
          <w:rFonts w:ascii="DejaVu Serif" w:hAnsi="DejaVu Serif" w:eastAsia="Noto Serif CJK SC"/>
          <w:color w:val="000000"/>
          <w:sz w:val="22"/>
        </w:rPr>
        <w:t xml:space="preserve">Except for viewing, do not forward, download, or cause the dissemination of the relevant film(s) (on a large scale) through intentional (active) conduct or gross negligence.</w:t>
      </w:r>
    </w:p>
    <w:p>
      <w:pPr>
        <w:pStyle w:val="FirstParagraph"/>
        <w:spacing w:after="120" w:line="312" w:lineRule="auto"/>
      </w:pPr>
      <w:r>
        <w:rPr>
          <w:rFonts w:ascii="DejaVu Serif" w:hAnsi="DejaVu Serif" w:eastAsia="Noto Serif CJK SC"/>
          <w:color w:val="000000"/>
          <w:sz w:val="22"/>
        </w:rPr>
        <w:t xml:space="preserve">143b. Situations related to drug activities that do not constitute a crime (criminal illegal act):</w:t>
      </w:r>
    </w:p>
    <w:p>
      <w:pPr>
        <w:numPr>
          <w:ilvl w:val="0"/>
          <w:numId w:val="1079"/>
        </w:numPr>
        <w:spacing w:after="120" w:line="312" w:lineRule="auto"/>
      </w:pPr>
      <w:r>
        <w:rPr>
          <w:rFonts w:ascii="DejaVu Serif" w:hAnsi="DejaVu Serif" w:eastAsia="Noto Serif CJK SC"/>
          <w:color w:val="000000"/>
          <w:sz w:val="22"/>
        </w:rPr>
        <w:t xml:space="preserve">Unintentional possession of 999.99 grams or more of opium or 9.99 grams or more of other controlled substances, where there is evidence proving that the act was not committed with subjective intent;</w:t>
      </w:r>
    </w:p>
    <w:p>
      <w:pPr>
        <w:numPr>
          <w:ilvl w:val="0"/>
          <w:numId w:val="1079"/>
        </w:numPr>
        <w:spacing w:after="120" w:line="312" w:lineRule="auto"/>
      </w:pPr>
      <w:r>
        <w:rPr>
          <w:rFonts w:ascii="DejaVu Serif" w:hAnsi="DejaVu Serif" w:eastAsia="Noto Serif CJK SC"/>
          <w:color w:val="000000"/>
          <w:sz w:val="22"/>
        </w:rPr>
        <w:t xml:space="preserve">Although intentional or with knowledge, the illegal possession of 999.99 grams or less of opium or 9.99 grams or less of other narcotics;</w:t>
      </w:r>
    </w:p>
    <w:p>
      <w:pPr>
        <w:numPr>
          <w:ilvl w:val="0"/>
          <w:numId w:val="1079"/>
        </w:numPr>
        <w:spacing w:after="120" w:line="312" w:lineRule="auto"/>
      </w:pPr>
      <w:r>
        <w:rPr>
          <w:rFonts w:ascii="DejaVu Serif" w:hAnsi="DejaVu Serif" w:eastAsia="Noto Serif CJK SC"/>
          <w:color w:val="000000"/>
          <w:sz w:val="22"/>
        </w:rPr>
        <w:t xml:space="preserve">The illegal production, sale, or transport of raw materials or reagents for the manufacture of narcotic drugs, where the circumstances are relatively minor;</w:t>
      </w:r>
    </w:p>
    <w:p>
      <w:pPr>
        <w:numPr>
          <w:ilvl w:val="0"/>
          <w:numId w:val="1079"/>
        </w:numPr>
        <w:spacing w:after="120" w:line="312" w:lineRule="auto"/>
      </w:pPr>
      <w:r>
        <w:rPr>
          <w:rFonts w:ascii="DejaVu Serif" w:hAnsi="DejaVu Serif" w:eastAsia="Noto Serif CJK SC"/>
          <w:color w:val="000000"/>
          <w:sz w:val="22"/>
        </w:rPr>
        <w:t xml:space="preserve">Illegally carrying raw materials or reagents for the manufacture of drugs into or out of a customs territory, where the circumstances are relatively minor;</w:t>
      </w:r>
    </w:p>
    <w:p>
      <w:pPr>
        <w:numPr>
          <w:ilvl w:val="0"/>
          <w:numId w:val="1079"/>
        </w:numPr>
        <w:spacing w:after="120" w:line="312" w:lineRule="auto"/>
      </w:pPr>
      <w:r>
        <w:rPr>
          <w:rFonts w:ascii="DejaVu Serif" w:hAnsi="DejaVu Serif" w:eastAsia="Noto Serif CJK SC"/>
          <w:color w:val="000000"/>
          <w:sz w:val="22"/>
        </w:rPr>
        <w:t xml:space="preserve">Illegally planting 499 or fewer poppy plants, or exceeding 500 plants but voluntarily removing them before harvest;</w:t>
      </w:r>
    </w:p>
    <w:p>
      <w:pPr>
        <w:numPr>
          <w:ilvl w:val="0"/>
          <w:numId w:val="1079"/>
        </w:numPr>
        <w:spacing w:after="120" w:line="312" w:lineRule="auto"/>
      </w:pPr>
      <w:r>
        <w:rPr>
          <w:rFonts w:ascii="DejaVu Serif" w:hAnsi="DejaVu Serif" w:eastAsia="Noto Serif CJK SC"/>
          <w:color w:val="000000"/>
          <w:sz w:val="22"/>
        </w:rPr>
        <w:t xml:space="preserve">The illegal buying, selling, transporting, carrying, or holding of unsterilized poppy or other narcotic raw plant seeds or seedlings, provided the quantity is not large;</w:t>
      </w:r>
    </w:p>
    <w:p>
      <w:pPr>
        <w:numPr>
          <w:ilvl w:val="0"/>
          <w:numId w:val="1079"/>
        </w:numPr>
        <w:spacing w:after="120" w:line="312" w:lineRule="auto"/>
      </w:pPr>
      <w:r>
        <w:rPr>
          <w:rFonts w:ascii="DejaVu Serif" w:hAnsi="DejaVu Serif" w:eastAsia="Noto Serif CJK SC"/>
          <w:color w:val="000000"/>
          <w:sz w:val="22"/>
        </w:rPr>
        <w:t xml:space="preserve">In wartime, to clearly and resolutely refuse military service (if necessary, the individual may accept a two-year prison sentence as a substitute, or even a prison sentence of up to twenty years.)</w:t>
      </w:r>
    </w:p>
    <w:p>
      <w:pPr>
        <w:pStyle w:val="FirstParagraph"/>
        <w:spacing w:after="120" w:line="312" w:lineRule="auto"/>
      </w:pPr>
      <w:r>
        <w:rPr>
          <w:rFonts w:ascii="DejaVu Serif" w:hAnsi="DejaVu Serif" w:eastAsia="Noto Serif CJK SC"/>
          <w:color w:val="000000"/>
          <w:sz w:val="22"/>
        </w:rPr>
        <w:t xml:space="preserve">The following drug-related activities are strictly prohibited: smuggling, manufacturing, transporting, or trafficking in drugs; compelling, inducing, abetting, deceiving, or harboring others in the use or injection of drugs; harboring criminals who smuggle, manufacture, transport, or traffic in drugs; concealing, transferring, or concealing drugs or criminal proceeds for criminals who smuggle, manufacture, transport, or traffic in drugs;</w:t>
      </w:r>
    </w:p>
    <w:p>
      <w:pPr>
        <w:numPr>
          <w:ilvl w:val="0"/>
          <w:numId w:val="1080"/>
        </w:numPr>
        <w:spacing w:after="120" w:line="312" w:lineRule="auto"/>
      </w:pPr>
      <w:r>
        <w:rPr>
          <w:rFonts w:ascii="DejaVu Serif" w:hAnsi="DejaVu Serif" w:eastAsia="Noto Serif CJK SC"/>
          <w:color w:val="000000"/>
          <w:sz w:val="22"/>
        </w:rPr>
        <w:t xml:space="preserve">Unintentionally providing false enemy intelligence to armed forces during wartime.</w:t>
      </w:r>
    </w:p>
    <w:p>
      <w:pPr>
        <w:numPr>
          <w:ilvl w:val="0"/>
          <w:numId w:val="1080"/>
        </w:numPr>
        <w:spacing w:after="120" w:line="312" w:lineRule="auto"/>
      </w:pPr>
      <w:r>
        <w:rPr>
          <w:rFonts w:ascii="DejaVu Serif" w:hAnsi="DejaVu Serif" w:eastAsia="Noto Serif CJK SC"/>
          <w:color w:val="000000"/>
          <w:sz w:val="22"/>
        </w:rPr>
        <w:t xml:space="preserve">Intentionally providing false enemy intelligence to the armed forces during wartime, without yet causing serious consequences.</w:t>
      </w:r>
    </w:p>
    <w:p>
      <w:pPr>
        <w:numPr>
          <w:ilvl w:val="0"/>
          <w:numId w:val="1080"/>
        </w:numPr>
        <w:spacing w:after="120" w:line="312" w:lineRule="auto"/>
      </w:pPr>
      <w:r>
        <w:rPr>
          <w:rFonts w:ascii="DejaVu Serif" w:hAnsi="DejaVu Serif" w:eastAsia="Noto Serif CJK SC"/>
          <w:color w:val="000000"/>
          <w:sz w:val="22"/>
        </w:rPr>
        <w:t xml:space="preserve">Providing shelter or property to a military deserter during wartime, where the circumstances do not yet constitute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aggravating circumstances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Code.</w:t>
      </w:r>
    </w:p>
    <w:p>
      <w:pPr>
        <w:numPr>
          <w:ilvl w:val="0"/>
          <w:numId w:val="1080"/>
        </w:numPr>
        <w:spacing w:after="120" w:line="312" w:lineRule="auto"/>
      </w:pPr>
      <w:r>
        <w:rPr>
          <w:rFonts w:ascii="DejaVu Serif" w:hAnsi="DejaVu Serif" w:eastAsia="Noto Serif CJK SC"/>
          <w:color w:val="000000"/>
          <w:sz w:val="22"/>
        </w:rPr>
        <w:t xml:space="preserve">Refusing or intentionally delaying military orders during wartime, but where the act cannot yet be deemed to constitute the circumstances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serious circumstances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w:t>
      </w:r>
    </w:p>
    <w:p>
      <w:pPr>
        <w:numPr>
          <w:ilvl w:val="0"/>
          <w:numId w:val="1080"/>
        </w:numPr>
        <w:spacing w:after="120" w:line="312" w:lineRule="auto"/>
      </w:pPr>
      <w:r>
        <w:rPr>
          <w:rFonts w:ascii="DejaVu Serif" w:hAnsi="DejaVu Serif" w:eastAsia="Noto Serif CJK SC"/>
          <w:color w:val="000000"/>
          <w:sz w:val="22"/>
        </w:rPr>
        <w:t xml:space="preserve">Refusal to submit to military requisition or conscription during wartime, where the act cannot yet be deemed to constitute the circumstances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serious circumstances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 or where there are other reasonable grounds (such as being solely for the purpose of ensuring one’s own life, survival,</w:t>
      </w:r>
    </w:p>
    <w:p>
      <w:pPr>
        <w:pStyle w:val="FirstParagraph"/>
        <w:spacing w:after="120" w:line="312" w:lineRule="auto"/>
      </w:pPr>
      <w:r>
        <w:rPr>
          <w:rFonts w:ascii="DejaVu Serif" w:hAnsi="DejaVu Serif" w:eastAsia="Noto Serif CJK SC"/>
          <w:color w:val="000000"/>
          <w:sz w:val="22"/>
        </w:rPr>
        <w:t xml:space="preserve">(Healthy).</w:t>
      </w:r>
    </w:p>
    <w:p>
      <w:pPr>
        <w:pStyle w:val="BodyText"/>
        <w:spacing w:after="120" w:line="312" w:lineRule="auto"/>
      </w:pPr>
      <w:r>
        <w:rPr>
          <w:rFonts w:ascii="DejaVu Serif" w:hAnsi="DejaVu Serif" w:eastAsia="Noto Serif CJK SC"/>
          <w:color w:val="000000"/>
          <w:sz w:val="22"/>
        </w:rPr>
        <w:t xml:space="preserve">Refusing military conscription during wartime and suspected of any of the following circumstances shall be subject to investigation and prosecution:</w:t>
      </w:r>
    </w:p>
    <w:p>
      <w:pPr>
        <w:numPr>
          <w:ilvl w:val="0"/>
          <w:numId w:val="1081"/>
        </w:numPr>
        <w:spacing w:after="120" w:line="312" w:lineRule="auto"/>
      </w:pPr>
      <w:r>
        <w:rPr>
          <w:rFonts w:ascii="DejaVu Serif" w:hAnsi="DejaVu Serif" w:eastAsia="Noto Serif CJK SC"/>
          <w:color w:val="000000"/>
          <w:sz w:val="22"/>
        </w:rPr>
        <w:t xml:space="preserve">Refusing military conscription more than three times without just cause;</w:t>
      </w:r>
    </w:p>
    <w:p>
      <w:pPr>
        <w:numPr>
          <w:ilvl w:val="0"/>
          <w:numId w:val="1081"/>
        </w:numPr>
        <w:spacing w:after="120" w:line="312" w:lineRule="auto"/>
      </w:pPr>
      <w:r>
        <w:rPr>
          <w:rFonts w:ascii="DejaVu Serif" w:hAnsi="DejaVu Serif" w:eastAsia="Noto Serif CJK SC"/>
          <w:color w:val="000000"/>
          <w:sz w:val="22"/>
        </w:rPr>
        <w:t xml:space="preserve">To adopt violent, threatening, or deceptive means to refuse military requisition;</w:t>
      </w:r>
    </w:p>
    <w:p>
      <w:pPr>
        <w:numPr>
          <w:ilvl w:val="0"/>
          <w:numId w:val="1081"/>
        </w:numPr>
        <w:spacing w:after="120" w:line="312" w:lineRule="auto"/>
      </w:pPr>
      <w:r>
        <w:rPr>
          <w:rFonts w:ascii="DejaVu Serif" w:hAnsi="DejaVu Serif" w:eastAsia="Noto Serif CJK SC"/>
          <w:color w:val="000000"/>
          <w:sz w:val="22"/>
        </w:rPr>
        <w:t xml:space="preserve">To contact and incite others to jointly refuse military conscription;</w:t>
      </w:r>
    </w:p>
    <w:p>
      <w:pPr>
        <w:numPr>
          <w:ilvl w:val="0"/>
          <w:numId w:val="1081"/>
        </w:numPr>
        <w:spacing w:after="120" w:line="312" w:lineRule="auto"/>
      </w:pPr>
      <w:r>
        <w:rPr>
          <w:rFonts w:ascii="DejaVu Serif" w:hAnsi="DejaVu Serif" w:eastAsia="Noto Serif CJK SC"/>
          <w:color w:val="000000"/>
          <w:sz w:val="22"/>
        </w:rPr>
        <w:t xml:space="preserve">Refusing important military requisition, thereby affecting the completion of important military tasks; Military requisition refers to the legal, compensated use of property and labor of any unit other than the armed forces, including organs, organizations, parties, enterprises, institutions, and individuals, in times of war or similar emergencies for military needs. This includes urgently needed items such as houses, premises, machinery, facilities, transportation vehicles, grain and fodder, medicines, clothing, and all other necessities, as well as the labor of individual citizens.</w:t>
      </w:r>
    </w:p>
    <w:p>
      <w:pPr>
        <w:numPr>
          <w:ilvl w:val="0"/>
          <w:numId w:val="1081"/>
        </w:numPr>
        <w:spacing w:after="120" w:line="312" w:lineRule="auto"/>
      </w:pPr>
      <w:r>
        <w:rPr>
          <w:rFonts w:ascii="DejaVu Serif" w:hAnsi="DejaVu Serif" w:eastAsia="Noto Serif CJK SC"/>
          <w:color w:val="000000"/>
          <w:sz w:val="22"/>
        </w:rPr>
        <w:t xml:space="preserve">Other circumstances of a serious nature.</w:t>
      </w:r>
    </w:p>
    <w:p>
      <w:pPr>
        <w:numPr>
          <w:ilvl w:val="0"/>
          <w:numId w:val="1082"/>
        </w:numPr>
        <w:spacing w:after="120" w:line="312" w:lineRule="auto"/>
      </w:pPr>
      <w:r>
        <w:rPr>
          <w:rFonts w:ascii="DejaVu Serif" w:hAnsi="DejaVu Serif" w:eastAsia="Noto Serif CJK SC"/>
          <w:color w:val="000000"/>
          <w:sz w:val="22"/>
        </w:rPr>
        <w:t xml:space="preserve">In economic transactions, violating state regulations by giving property to state functionaries, where the amount has not yet reached the threshold for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 relatively large amount.</w:t>
      </w:r>
      <w:r>
        <w:rPr>
          <w:rFonts w:ascii="DejaVu Serif" w:hAnsi="DejaVu Serif" w:eastAsia="Noto Serif CJK SC"/>
          <w:color w:val="000000"/>
          <w:sz w:val="22"/>
        </w:rPr>
        <w:t xml:space="preserve">”</w:t>
      </w:r>
    </w:p>
    <w:p>
      <w:pPr>
        <w:numPr>
          <w:ilvl w:val="0"/>
          <w:numId w:val="1082"/>
        </w:numPr>
        <w:spacing w:after="120" w:line="312" w:lineRule="auto"/>
      </w:pPr>
      <w:r>
        <w:rPr>
          <w:rFonts w:ascii="DejaVu Serif" w:hAnsi="DejaVu Serif" w:eastAsia="Noto Serif CJK SC"/>
          <w:color w:val="000000"/>
          <w:sz w:val="22"/>
        </w:rPr>
        <w:t xml:space="preserve">Introducing bribes to state functionaries, but the circumstances cannot yet be deemed as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serious circumstances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w:t>
      </w:r>
    </w:p>
    <w:p>
      <w:pPr>
        <w:numPr>
          <w:ilvl w:val="0"/>
          <w:numId w:val="1082"/>
        </w:numPr>
        <w:spacing w:after="120" w:line="312" w:lineRule="auto"/>
      </w:pPr>
      <w:r>
        <w:rPr>
          <w:rFonts w:ascii="DejaVu Serif" w:hAnsi="DejaVu Serif" w:eastAsia="Noto Serif CJK SC"/>
          <w:color w:val="000000"/>
          <w:sz w:val="22"/>
        </w:rPr>
        <w:t xml:space="preserve">An entity, in order to seek improper benefits, offers bribes, or in violation of state regulations, provides to state personnel</w:t>
      </w:r>
    </w:p>
    <w:p>
      <w:pPr>
        <w:spacing w:after="120" w:line="312" w:lineRule="auto"/>
      </w:pPr>
      <w:r>
        <w:rPr>
          <w:rFonts w:ascii="DejaVu Serif" w:hAnsi="DejaVu Serif" w:eastAsia="Noto Serif CJK SC"/>
          <w:color w:val="000000"/>
          <w:sz w:val="22"/>
        </w:rPr>
        <w:pict>
          <v:rect style="width:0;height:1.5pt" o:hralign="center" o:hrstd="t" o:hr="t"/>
        </w:pict>
      </w:r>
    </w:p>
    <w:bookmarkEnd w:id="252"/>
    <w:bookmarkStart w:id="253" w:name="Xe1d13234642390bc1db3cd32af33d0ef1353c9a"/>
    <w:p>
      <w:pPr>
        <w:pStyle w:val="Heading3"/>
        <w:spacing w:after="120" w:line="312" w:lineRule="auto"/>
        <w:jc w:val="left"/>
      </w:pPr>
      <w:r>
        <w:rPr>
          <w:rFonts w:ascii="DejaVu Serif" w:hAnsi="DejaVu Serif" w:eastAsia="Noto Serif CJK SC"/>
          <w:color w:val="000000"/>
          <w:sz w:val="26"/>
        </w:rPr>
        <w:t xml:space="preserve">Annex A.04.001</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Principles and Detailed Rules for Personal Life Forms</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(Verbatim Full Text)</w:t>
      </w:r>
    </w:p>
    <w:p>
      <w:pPr>
        <w:pStyle w:val="FirstParagraph"/>
        <w:spacing w:after="120" w:line="312" w:lineRule="auto"/>
      </w:pPr>
      <w:r>
        <w:rPr>
          <w:rFonts w:ascii="DejaVu Serif" w:hAnsi="DejaVu Serif" w:eastAsia="Noto Serif CJK SC"/>
          <w:color w:val="000000"/>
          <w:sz w:val="22"/>
        </w:rPr>
        <w:t xml:space="preserve">【Verbatim Full Text】</w:t>
      </w:r>
    </w:p>
    <w:p>
      <w:pPr>
        <w:pStyle w:val="BodyText"/>
        <w:spacing w:after="120" w:line="312" w:lineRule="auto"/>
      </w:pPr>
      <w:r>
        <w:rPr>
          <w:rFonts w:ascii="DejaVu Serif" w:hAnsi="DejaVu Serif" w:eastAsia="Noto Serif CJK SC"/>
          <w:color w:val="000000"/>
          <w:sz w:val="22"/>
        </w:rPr>
        <w:t xml:space="preserve">Supplementary Article to the Charter of Life Action No. 1: Principles of Personal Life Forms</w:t>
      </w:r>
    </w:p>
    <w:p>
      <w:pPr>
        <w:pStyle w:val="BodyText"/>
        <w:spacing w:after="120" w:line="312" w:lineRule="auto"/>
      </w:pPr>
      <w:r>
        <w:rPr>
          <w:rFonts w:ascii="DejaVu Serif" w:hAnsi="DejaVu Serif" w:eastAsia="Noto Serif CJK SC"/>
          <w:color w:val="000000"/>
          <w:sz w:val="22"/>
        </w:rPr>
        <w:t xml:space="preserve">Article 1 (General Principles)</w:t>
      </w:r>
    </w:p>
    <w:p>
      <w:pPr>
        <w:pStyle w:val="BodyText"/>
        <w:spacing w:after="120" w:line="312" w:lineRule="auto"/>
      </w:pPr>
      <w:r>
        <w:rPr>
          <w:rFonts w:ascii="DejaVu Serif" w:hAnsi="DejaVu Serif" w:eastAsia="Noto Serif CJK SC"/>
          <w:color w:val="000000"/>
          <w:sz w:val="22"/>
        </w:rPr>
        <w:t xml:space="preserve">To realize the maximum degree of individual freedom, mobility, and long-term strategic autonomy, I hereby establish the following five core principles at the level of lifestyle:</w:t>
      </w:r>
    </w:p>
    <w:p>
      <w:pPr>
        <w:numPr>
          <w:ilvl w:val="0"/>
          <w:numId w:val="1083"/>
        </w:numPr>
        <w:spacing w:after="120" w:line="312" w:lineRule="auto"/>
      </w:pPr>
      <w:r>
        <w:rPr>
          <w:rFonts w:ascii="DejaVu Serif" w:hAnsi="DejaVu Serif" w:eastAsia="Noto Serif CJK SC"/>
          <w:color w:val="000000"/>
          <w:sz w:val="22"/>
        </w:rPr>
        <w:t xml:space="preserve">Principle of Not Acquiring Real Estate</w:t>
      </w:r>
    </w:p>
    <w:p>
      <w:pPr>
        <w:numPr>
          <w:ilvl w:val="0"/>
          <w:numId w:val="1083"/>
        </w:numPr>
        <w:spacing w:after="120" w:line="312" w:lineRule="auto"/>
      </w:pPr>
      <w:r>
        <w:rPr>
          <w:rFonts w:ascii="DejaVu Serif" w:hAnsi="DejaVu Serif" w:eastAsia="Noto Serif CJK SC"/>
          <w:color w:val="000000"/>
          <w:sz w:val="22"/>
        </w:rPr>
        <w:t xml:space="preserve">Principle of Not Purchasing Private Motor Vehicles</w:t>
      </w:r>
    </w:p>
    <w:p>
      <w:pPr>
        <w:numPr>
          <w:ilvl w:val="0"/>
          <w:numId w:val="1083"/>
        </w:numPr>
        <w:spacing w:after="120" w:line="312" w:lineRule="auto"/>
      </w:pPr>
      <w:r>
        <w:rPr>
          <w:rFonts w:ascii="DejaVu Serif" w:hAnsi="DejaVu Serif" w:eastAsia="Noto Serif CJK SC"/>
          <w:color w:val="000000"/>
          <w:sz w:val="22"/>
        </w:rPr>
        <w:t xml:space="preserve">Principle of Not Entering into Legal Marriage</w:t>
      </w:r>
    </w:p>
    <w:p>
      <w:pPr>
        <w:numPr>
          <w:ilvl w:val="0"/>
          <w:numId w:val="1083"/>
        </w:numPr>
        <w:spacing w:after="120" w:line="312" w:lineRule="auto"/>
      </w:pPr>
      <w:r>
        <w:rPr>
          <w:rFonts w:ascii="DejaVu Serif" w:hAnsi="DejaVu Serif" w:eastAsia="Noto Serif CJK SC"/>
          <w:color w:val="000000"/>
          <w:sz w:val="22"/>
        </w:rPr>
        <w:t xml:space="preserve">Principle of Not Procreating Offspring</w:t>
      </w:r>
    </w:p>
    <w:p>
      <w:pPr>
        <w:numPr>
          <w:ilvl w:val="0"/>
          <w:numId w:val="1083"/>
        </w:numPr>
        <w:spacing w:after="120" w:line="312" w:lineRule="auto"/>
      </w:pPr>
      <w:r>
        <w:rPr>
          <w:rFonts w:ascii="DejaVu Serif" w:hAnsi="DejaVu Serif" w:eastAsia="Noto Serif CJK SC"/>
          <w:color w:val="000000"/>
          <w:sz w:val="22"/>
        </w:rPr>
        <w:t xml:space="preserve">Principle of Non-Affiliation with Any Political Party</w:t>
      </w:r>
    </w:p>
    <w:p>
      <w:pPr>
        <w:pStyle w:val="FirstParagraph"/>
        <w:spacing w:after="120" w:line="312" w:lineRule="auto"/>
      </w:pPr>
      <w:r>
        <w:rPr>
          <w:rFonts w:ascii="DejaVu Serif" w:hAnsi="DejaVu Serif" w:eastAsia="Noto Serif CJK SC"/>
          <w:color w:val="000000"/>
          <w:sz w:val="22"/>
        </w:rPr>
        <w:t xml:space="preserve">Article 2 (Principle of Not Acquiring Real Estate)</w:t>
      </w:r>
    </w:p>
    <w:p>
      <w:pPr>
        <w:pStyle w:val="Compact"/>
        <w:numPr>
          <w:ilvl w:val="0"/>
          <w:numId w:val="1084"/>
        </w:numPr>
        <w:spacing w:after="120" w:line="312" w:lineRule="auto"/>
      </w:pPr>
      <w:r>
        <w:rPr>
          <w:rFonts w:ascii="DejaVu Serif" w:hAnsi="DejaVu Serif" w:eastAsia="Noto Serif CJK SC"/>
          <w:color w:val="000000"/>
          <w:sz w:val="22"/>
        </w:rPr>
        <w:t xml:space="preserve">Core Concept: Maintaining geographical mobility, avoiding the risks of asset immobilization, and reducing long-term liabilities and maintenance costs.</w:t>
      </w:r>
    </w:p>
    <w:p>
      <w:pPr>
        <w:pStyle w:val="FirstParagraph"/>
        <w:spacing w:after="120" w:line="312" w:lineRule="auto"/>
      </w:pPr>
      <w:r>
        <w:rPr>
          <w:rFonts w:ascii="DejaVu Serif" w:hAnsi="DejaVu Serif" w:eastAsia="Noto Serif CJK SC"/>
          <w:color w:val="000000"/>
          <w:sz w:val="22"/>
        </w:rPr>
        <w:t xml:space="preserve">① Housing needs are met through global leasing, serviced apartments, serviced residences, or long-term homestays;</w:t>
      </w:r>
    </w:p>
    <w:p>
      <w:pPr>
        <w:pStyle w:val="BodyText"/>
        <w:spacing w:after="120" w:line="312" w:lineRule="auto"/>
      </w:pPr>
      <w:r>
        <w:rPr>
          <w:rFonts w:ascii="DejaVu Serif" w:hAnsi="DejaVu Serif" w:eastAsia="Noto Serif CJK SC"/>
          <w:color w:val="000000"/>
          <w:sz w:val="22"/>
        </w:rPr>
        <w:t xml:space="preserve">② May hold commercial-use property rights (such as office space, warehousing space) but must ensure they can be quickly liquidated;</w:t>
      </w:r>
    </w:p>
    <w:p>
      <w:pPr>
        <w:pStyle w:val="BodyText"/>
        <w:spacing w:after="120" w:line="312" w:lineRule="auto"/>
      </w:pPr>
      <w:r>
        <w:rPr>
          <w:rFonts w:ascii="DejaVu Serif" w:hAnsi="DejaVu Serif" w:eastAsia="Noto Serif CJK SC"/>
          <w:color w:val="000000"/>
          <w:sz w:val="22"/>
        </w:rPr>
        <w:t xml:space="preserve">③ Permit the indirect holding of real estate interests through financial instruments such as trusts and funds, but not the direct holding of residential property rights.</w:t>
      </w:r>
    </w:p>
    <w:p>
      <w:pPr>
        <w:pStyle w:val="BodyText"/>
        <w:spacing w:after="120" w:line="312" w:lineRule="auto"/>
      </w:pPr>
      <w:r>
        <w:rPr>
          <w:rFonts w:ascii="DejaVu Serif" w:hAnsi="DejaVu Serif" w:eastAsia="Noto Serif CJK SC"/>
          <w:color w:val="000000"/>
          <w:sz w:val="22"/>
        </w:rPr>
        <w:t xml:space="preserve">Article 3 (Principle of Not Purchasing Private Motor Vehicles)</w:t>
      </w:r>
    </w:p>
    <w:p>
      <w:pPr>
        <w:pStyle w:val="Compact"/>
        <w:numPr>
          <w:ilvl w:val="0"/>
          <w:numId w:val="1085"/>
        </w:numPr>
        <w:spacing w:after="120" w:line="312" w:lineRule="auto"/>
      </w:pPr>
      <w:r>
        <w:rPr>
          <w:rFonts w:ascii="DejaVu Serif" w:hAnsi="DejaVu Serif" w:eastAsia="Noto Serif CJK SC"/>
          <w:color w:val="000000"/>
          <w:sz w:val="22"/>
        </w:rPr>
        <w:t xml:space="preserve">Core Concept: Avoid fixed asset depreciation, maintenance burdens, and geographical limitations, embracing the sharing economy and public transportation.</w:t>
      </w:r>
    </w:p>
    <w:p>
      <w:pPr>
        <w:pStyle w:val="FirstParagraph"/>
        <w:spacing w:after="120" w:line="312" w:lineRule="auto"/>
      </w:pPr>
      <w:r>
        <w:rPr>
          <w:rFonts w:ascii="DejaVu Serif" w:hAnsi="DejaVu Serif" w:eastAsia="Noto Serif CJK SC"/>
          <w:color w:val="000000"/>
          <w:sz w:val="22"/>
        </w:rPr>
        <w:t xml:space="preserve">① Travel is primarily by public transportation, ride-hailing services, car rental, bicycle, and walking;</w:t>
      </w:r>
    </w:p>
    <w:p>
      <w:pPr>
        <w:pStyle w:val="BodyText"/>
        <w:spacing w:after="120" w:line="312" w:lineRule="auto"/>
      </w:pPr>
      <w:r>
        <w:rPr>
          <w:rFonts w:ascii="DejaVu Serif" w:hAnsi="DejaVu Serif" w:eastAsia="Noto Serif CJK SC"/>
          <w:color w:val="000000"/>
          <w:sz w:val="22"/>
        </w:rPr>
        <w:t xml:space="preserve">② In necessary circumstances, vehicles may be leased for the long term (for more than six months), but without assuming ownership risks;</w:t>
      </w:r>
    </w:p>
    <w:p>
      <w:pPr>
        <w:pStyle w:val="BodyText"/>
        <w:spacing w:after="120" w:line="312" w:lineRule="auto"/>
      </w:pPr>
      <w:r>
        <w:rPr>
          <w:rFonts w:ascii="DejaVu Serif" w:hAnsi="DejaVu Serif" w:eastAsia="Noto Serif CJK SC"/>
          <w:color w:val="000000"/>
          <w:sz w:val="22"/>
        </w:rPr>
        <w:t xml:space="preserve">③ A partner may hire an assistant including driving services or use a company-provided vehicle, with the vehicle’s title not归属于归于 the individual’s name.</w:t>
      </w:r>
    </w:p>
    <w:p>
      <w:pPr>
        <w:pStyle w:val="BodyText"/>
        <w:spacing w:after="120" w:line="312" w:lineRule="auto"/>
      </w:pPr>
      <w:r>
        <w:rPr>
          <w:rFonts w:ascii="DejaVu Serif" w:hAnsi="DejaVu Serif" w:eastAsia="Noto Serif CJK SC"/>
          <w:color w:val="000000"/>
          <w:sz w:val="22"/>
        </w:rPr>
        <w:t xml:space="preserve">Article 4 (Principle of Not Entering into Legal Marriage)</w:t>
      </w:r>
    </w:p>
    <w:p>
      <w:pPr>
        <w:pStyle w:val="Compact"/>
        <w:numPr>
          <w:ilvl w:val="0"/>
          <w:numId w:val="1086"/>
        </w:numPr>
        <w:spacing w:after="120" w:line="312" w:lineRule="auto"/>
      </w:pPr>
      <w:r>
        <w:rPr>
          <w:rFonts w:ascii="DejaVu Serif" w:hAnsi="DejaVu Serif" w:eastAsia="Noto Serif CJK SC"/>
          <w:color w:val="000000"/>
          <w:sz w:val="22"/>
        </w:rPr>
        <w:t xml:space="preserve">Core Principle: To maintain simplicity in legal relationships, avoid joint and several liabilities, compulsory division of property, and restricted decision-making.</w:t>
      </w:r>
    </w:p>
    <w:p>
      <w:pPr>
        <w:pStyle w:val="FirstParagraph"/>
        <w:spacing w:after="120" w:line="312" w:lineRule="auto"/>
      </w:pPr>
      <w:r>
        <w:rPr>
          <w:rFonts w:ascii="DejaVu Serif" w:hAnsi="DejaVu Serif" w:eastAsia="Noto Serif CJK SC"/>
          <w:color w:val="000000"/>
          <w:sz w:val="22"/>
        </w:rPr>
        <w:t xml:space="preserve">① Rights and obligations between partners may be stipulated by civil agreement, without undergoing legal marriage registration;</w:t>
      </w:r>
    </w:p>
    <w:p>
      <w:pPr>
        <w:pStyle w:val="BodyText"/>
        <w:spacing w:after="120" w:line="312" w:lineRule="auto"/>
      </w:pPr>
      <w:r>
        <w:rPr>
          <w:rFonts w:ascii="DejaVu Serif" w:hAnsi="DejaVu Serif" w:eastAsia="Noto Serif CJK SC"/>
          <w:color w:val="000000"/>
          <w:sz w:val="22"/>
        </w:rPr>
        <w:t xml:space="preserve">② In cases involving cross-border relationships, priority shall be given to signing 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Civil Union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or similar legal documents to ensure clarity of rights and obligations and the possibility of dissolution;</w:t>
      </w:r>
    </w:p>
    <w:p>
      <w:pPr>
        <w:pStyle w:val="BodyText"/>
        <w:spacing w:after="120" w:line="312" w:lineRule="auto"/>
      </w:pPr>
      <w:r>
        <w:rPr>
          <w:rFonts w:ascii="DejaVu Serif" w:hAnsi="DejaVu Serif" w:eastAsia="Noto Serif CJK SC"/>
          <w:color w:val="000000"/>
          <w:sz w:val="22"/>
        </w:rPr>
        <w:t xml:space="preserve">③ Arrangements for inheritance are implemented through wills, trusts, and the designation of beneficiaries, and do not rely on statutory inheritance.</w:t>
      </w:r>
    </w:p>
    <w:p>
      <w:pPr>
        <w:pStyle w:val="BodyText"/>
        <w:spacing w:after="120" w:line="312" w:lineRule="auto"/>
      </w:pPr>
      <w:r>
        <w:rPr>
          <w:rFonts w:ascii="DejaVu Serif" w:hAnsi="DejaVu Serif" w:eastAsia="Noto Serif CJK SC"/>
          <w:color w:val="000000"/>
          <w:sz w:val="22"/>
        </w:rPr>
        <w:t xml:space="preserve">Article 5 (Principle of Not Procreating Offspring)</w:t>
      </w:r>
    </w:p>
    <w:p>
      <w:pPr>
        <w:pStyle w:val="Compact"/>
        <w:numPr>
          <w:ilvl w:val="0"/>
          <w:numId w:val="1087"/>
        </w:numPr>
        <w:spacing w:after="120" w:line="312" w:lineRule="auto"/>
      </w:pPr>
      <w:r>
        <w:rPr>
          <w:rFonts w:ascii="DejaVu Serif" w:hAnsi="DejaVu Serif" w:eastAsia="Noto Serif CJK SC"/>
          <w:color w:val="000000"/>
          <w:sz w:val="22"/>
        </w:rPr>
        <w:t xml:space="preserve">Core Principle: Concentrate resources on personal growth, career realization, and global mobility, avoiding the long-term constraints of parental responsibilities on time, finances, and freedom of action.</w:t>
      </w:r>
    </w:p>
    <w:p>
      <w:pPr>
        <w:pStyle w:val="FirstParagraph"/>
        <w:spacing w:after="120" w:line="312" w:lineRule="auto"/>
      </w:pPr>
      <w:r>
        <w:rPr>
          <w:rFonts w:ascii="DejaVu Serif" w:hAnsi="DejaVu Serif" w:eastAsia="Noto Serif CJK SC"/>
          <w:color w:val="000000"/>
          <w:sz w:val="22"/>
        </w:rPr>
        <w:t xml:space="preserve">① To undergo permanent contraceptive measures or to continuously use reliable contraceptive methods;</w:t>
      </w:r>
    </w:p>
    <w:p>
      <w:pPr>
        <w:pStyle w:val="BodyText"/>
        <w:spacing w:after="120" w:line="312" w:lineRule="auto"/>
      </w:pPr>
      <w:r>
        <w:rPr>
          <w:rFonts w:ascii="DejaVu Serif" w:hAnsi="DejaVu Serif" w:eastAsia="Noto Serif CJK SC"/>
          <w:color w:val="000000"/>
          <w:sz w:val="22"/>
        </w:rPr>
        <w:t xml:space="preserve">② In the event of an unexpected birth, legal proceedings will be used to clarify custody, maintenance, and guardianship arrangements, and I shall not assume daily parenting responsibilities;</w:t>
      </w:r>
    </w:p>
    <w:p>
      <w:pPr>
        <w:pStyle w:val="BodyText"/>
        <w:spacing w:after="120" w:line="312" w:lineRule="auto"/>
      </w:pPr>
      <w:r>
        <w:rPr>
          <w:rFonts w:ascii="DejaVu Serif" w:hAnsi="DejaVu Serif" w:eastAsia="Noto Serif CJK SC"/>
          <w:color w:val="000000"/>
          <w:sz w:val="22"/>
        </w:rPr>
        <w:t xml:space="preserve">③ Knowledge transmission and social contribution may be achieved through mentorship, sponsored education, or charitable donations.</w:t>
      </w:r>
    </w:p>
    <w:p>
      <w:pPr>
        <w:pStyle w:val="BodyText"/>
        <w:spacing w:after="120" w:line="312" w:lineRule="auto"/>
      </w:pPr>
      <w:r>
        <w:rPr>
          <w:rFonts w:ascii="DejaVu Serif" w:hAnsi="DejaVu Serif" w:eastAsia="Noto Serif CJK SC"/>
          <w:color w:val="000000"/>
          <w:sz w:val="22"/>
        </w:rPr>
        <w:t xml:space="preserve">Article 6 (Principle of Non-Affiliation with Any Political Party)</w:t>
      </w:r>
    </w:p>
    <w:p>
      <w:pPr>
        <w:pStyle w:val="Compact"/>
        <w:numPr>
          <w:ilvl w:val="0"/>
          <w:numId w:val="1088"/>
        </w:numPr>
        <w:spacing w:after="120" w:line="312" w:lineRule="auto"/>
      </w:pPr>
      <w:r>
        <w:rPr>
          <w:rFonts w:ascii="DejaVu Serif" w:hAnsi="DejaVu Serif" w:eastAsia="Noto Serif CJK SC"/>
          <w:color w:val="000000"/>
          <w:sz w:val="22"/>
        </w:rPr>
        <w:t xml:space="preserve">Core Principle: Maintain political neutrality, ideological independence, and freedom of cross-border action, avoiding conflicts of nationality, visa scrutiny, or restrictions on international activities arising from partisan affiliation.</w:t>
      </w:r>
    </w:p>
    <w:p>
      <w:pPr>
        <w:pStyle w:val="FirstParagraph"/>
        <w:spacing w:after="120" w:line="312" w:lineRule="auto"/>
      </w:pPr>
      <w:r>
        <w:rPr>
          <w:rFonts w:ascii="DejaVu Serif" w:hAnsi="DejaVu Serif" w:eastAsia="Noto Serif CJK SC"/>
          <w:color w:val="000000"/>
          <w:sz w:val="22"/>
        </w:rPr>
        <w:t xml:space="preserve">① Not to become a formal member or registered supporter of any political party (including the ruling party, opposition parties, or overseas branches);</w:t>
      </w:r>
    </w:p>
    <w:p>
      <w:pPr>
        <w:pStyle w:val="BodyText"/>
        <w:spacing w:after="120" w:line="312" w:lineRule="auto"/>
      </w:pPr>
      <w:r>
        <w:rPr>
          <w:rFonts w:ascii="DejaVu Serif" w:hAnsi="DejaVu Serif" w:eastAsia="Noto Serif CJK SC"/>
          <w:color w:val="000000"/>
          <w:sz w:val="22"/>
        </w:rPr>
        <w:t xml:space="preserve">② May participate in discussions on political issues, policy research, or public affairs consultation as an observer, but shall not accept party positions, nominations, or disciplinary constraints;</w:t>
      </w:r>
    </w:p>
    <w:p>
      <w:pPr>
        <w:pStyle w:val="BodyText"/>
        <w:spacing w:after="120" w:line="312" w:lineRule="auto"/>
      </w:pPr>
      <w:r>
        <w:rPr>
          <w:rFonts w:ascii="DejaVu Serif" w:hAnsi="DejaVu Serif" w:eastAsia="Noto Serif CJK SC"/>
          <w:color w:val="000000"/>
          <w:sz w:val="22"/>
        </w:rPr>
        <w:t xml:space="preserve">③ In international activities, when asked about political stance, uniformly state: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An independent global citizen concerned with human welfare rather than partisan politics.</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Article 7 (Exceptions to Principles)</w:t>
      </w:r>
    </w:p>
    <w:p>
      <w:pPr>
        <w:pStyle w:val="Compact"/>
        <w:numPr>
          <w:ilvl w:val="0"/>
          <w:numId w:val="1089"/>
        </w:numPr>
        <w:spacing w:after="120" w:line="312" w:lineRule="auto"/>
      </w:pPr>
      <w:r>
        <w:rPr>
          <w:rFonts w:ascii="DejaVu Serif" w:hAnsi="DejaVu Serif" w:eastAsia="Noto Serif CJK SC"/>
          <w:color w:val="000000"/>
          <w:sz w:val="22"/>
        </w:rPr>
        <w:t xml:space="preserve">The following principles may be temporarily and partially suspended in extreme circumstances, provided that a written record and justification are made by the Charter-Maker:</w:t>
      </w:r>
    </w:p>
    <w:p>
      <w:pPr>
        <w:pStyle w:val="FirstParagraph"/>
        <w:spacing w:after="120" w:line="312" w:lineRule="auto"/>
      </w:pPr>
      <w:r>
        <w:rPr>
          <w:rFonts w:ascii="DejaVu Serif" w:hAnsi="DejaVu Serif" w:eastAsia="Noto Serif CJK SC"/>
          <w:color w:val="000000"/>
          <w:sz w:val="22"/>
        </w:rPr>
        <w:t xml:space="preserve">① To evade war, political persecution, or major natural disasters, requiring the acquisition of real estate or vehicles for emergency shelter;</w:t>
      </w:r>
    </w:p>
    <w:p>
      <w:pPr>
        <w:pStyle w:val="BodyText"/>
        <w:spacing w:after="120" w:line="312" w:lineRule="auto"/>
      </w:pPr>
      <w:r>
        <w:rPr>
          <w:rFonts w:ascii="DejaVu Serif" w:hAnsi="DejaVu Serif" w:eastAsia="Noto Serif CJK SC"/>
          <w:color w:val="000000"/>
          <w:sz w:val="22"/>
        </w:rPr>
        <w:t xml:space="preserve">② To obtain permanent residency or citizenship in a certain country, where the law mandates completion of marriage or procreation procedures;</w:t>
      </w:r>
    </w:p>
    <w:p>
      <w:pPr>
        <w:pStyle w:val="BodyText"/>
        <w:spacing w:after="120" w:line="312" w:lineRule="auto"/>
      </w:pPr>
      <w:r>
        <w:rPr>
          <w:rFonts w:ascii="DejaVu Serif" w:hAnsi="DejaVu Serif" w:eastAsia="Noto Serif CJK SC"/>
          <w:color w:val="000000"/>
          <w:sz w:val="22"/>
        </w:rPr>
        <w:t xml:space="preserve">③ Joining a political party is the only legitimate means to protect one’s core assets or life safety.</w:t>
      </w:r>
    </w:p>
    <w:p>
      <w:pPr>
        <w:pStyle w:val="Compact"/>
        <w:numPr>
          <w:ilvl w:val="0"/>
          <w:numId w:val="1090"/>
        </w:numPr>
        <w:spacing w:after="120" w:line="312" w:lineRule="auto"/>
      </w:pPr>
      <w:r>
        <w:rPr>
          <w:rFonts w:ascii="DejaVu Serif" w:hAnsi="DejaVu Serif" w:eastAsia="Noto Serif CJK SC"/>
          <w:color w:val="000000"/>
          <w:sz w:val="22"/>
        </w:rPr>
        <w:t xml:space="preserve">Exception Management: Exceptional circumstances must be restored to the principle status within one year after the cause ceases to exist.</w:t>
      </w:r>
    </w:p>
    <w:p>
      <w:pPr>
        <w:pStyle w:val="FirstParagraph"/>
        <w:spacing w:after="120" w:line="312" w:lineRule="auto"/>
      </w:pPr>
      <w:r>
        <w:rPr>
          <w:rFonts w:ascii="DejaVu Serif" w:hAnsi="DejaVu Serif" w:eastAsia="Noto Serif CJK SC"/>
          <w:color w:val="000000"/>
          <w:sz w:val="22"/>
        </w:rPr>
        <w:t xml:space="preserve">Article 8 (Constitutional Connection of Principles)</w:t>
      </w:r>
    </w:p>
    <w:p>
      <w:pPr>
        <w:pStyle w:val="BodyText"/>
        <w:spacing w:after="120" w:line="312" w:lineRule="auto"/>
      </w:pPr>
      <w:r>
        <w:rPr>
          <w:rFonts w:ascii="DejaVu Serif" w:hAnsi="DejaVu Serif" w:eastAsia="Noto Serif CJK SC"/>
          <w:color w:val="000000"/>
          <w:sz w:val="22"/>
        </w:rPr>
        <w:t xml:space="preserve">This supplementary provision supplements the following articles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Charter of Life Action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① Article 2 (Advocating for Maximum Feasible Freedom)</w:t>
      </w:r>
    </w:p>
    <w:p>
      <w:pPr>
        <w:pStyle w:val="BodyText"/>
        <w:spacing w:after="120" w:line="312" w:lineRule="auto"/>
      </w:pPr>
      <w:r>
        <w:rPr>
          <w:rFonts w:ascii="DejaVu Serif" w:hAnsi="DejaVu Serif" w:eastAsia="Noto Serif CJK SC"/>
          <w:color w:val="000000"/>
          <w:sz w:val="22"/>
        </w:rPr>
        <w:t xml:space="preserve">② Article 7 (Universal Cosmic Citizen Concept)</w:t>
      </w:r>
    </w:p>
    <w:p>
      <w:pPr>
        <w:pStyle w:val="BodyText"/>
        <w:spacing w:after="120" w:line="312" w:lineRule="auto"/>
      </w:pPr>
      <w:r>
        <w:rPr>
          <w:rFonts w:ascii="DejaVu Serif" w:hAnsi="DejaVu Serif" w:eastAsia="Noto Serif CJK SC"/>
          <w:color w:val="000000"/>
          <w:sz w:val="22"/>
        </w:rPr>
        <w:t xml:space="preserve">③ Article 94 (Principle of Non-Participation in War)</w:t>
      </w:r>
    </w:p>
    <w:p>
      <w:pPr>
        <w:pStyle w:val="BodyText"/>
        <w:spacing w:after="120" w:line="312" w:lineRule="auto"/>
      </w:pPr>
      <w:r>
        <w:rPr>
          <w:rFonts w:ascii="DejaVu Serif" w:hAnsi="DejaVu Serif" w:eastAsia="Noto Serif CJK SC"/>
          <w:color w:val="000000"/>
          <w:sz w:val="22"/>
        </w:rPr>
        <w:t xml:space="preserve">④ Article 96 (Principle of Non-Political Stance)</w:t>
      </w:r>
    </w:p>
    <w:p>
      <w:pPr>
        <w:pStyle w:val="BodyText"/>
        <w:spacing w:after="120" w:line="312" w:lineRule="auto"/>
      </w:pPr>
      <w:r>
        <w:rPr>
          <w:rFonts w:ascii="DejaVu Serif" w:hAnsi="DejaVu Serif" w:eastAsia="Noto Serif CJK SC"/>
          <w:color w:val="000000"/>
          <w:sz w:val="22"/>
        </w:rPr>
        <w:t xml:space="preserve">Article 9 (Effectiveness and Revision)</w:t>
      </w:r>
    </w:p>
    <w:p>
      <w:pPr>
        <w:pStyle w:val="BodyText"/>
        <w:spacing w:after="120" w:line="312" w:lineRule="auto"/>
      </w:pPr>
      <w:r>
        <w:rPr>
          <w:rFonts w:ascii="DejaVu Serif" w:hAnsi="DejaVu Serif" w:eastAsia="Noto Serif CJK SC"/>
          <w:color w:val="000000"/>
          <w:sz w:val="22"/>
        </w:rPr>
        <w:t xml:space="preserve">This provision shall take effect from the date of signing and shall be reviewed annually for alignment with life stage objectives, and may be revised by written notice from the Charter-Maker.</w:t>
      </w:r>
    </w:p>
    <w:p>
      <w:pPr>
        <w:pStyle w:val="BodyText"/>
        <w:spacing w:after="120" w:line="312" w:lineRule="auto"/>
      </w:pPr>
      <w:r>
        <w:rPr>
          <w:rFonts w:ascii="DejaVu Serif" w:hAnsi="DejaVu Serif" w:eastAsia="Noto Serif CJK SC"/>
          <w:color w:val="000000"/>
          <w:sz w:val="22"/>
        </w:rPr>
        <w:t xml:space="preserve">Signed Charter-Maker: ________________________ Date: ________ year ______ month ______ day</w:t>
      </w:r>
    </w:p>
    <w:p>
      <w:pPr>
        <w:spacing w:after="120" w:line="312" w:lineRule="auto"/>
      </w:pPr>
      <w:r>
        <w:rPr>
          <w:rFonts w:ascii="DejaVu Serif" w:hAnsi="DejaVu Serif" w:eastAsia="Noto Serif CJK SC"/>
          <w:color w:val="000000"/>
          <w:sz w:val="22"/>
        </w:rPr>
        <w:pict>
          <v:rect style="width:0;height:1.5pt" o:hralign="center" o:hrstd="t" o:hr="t"/>
        </w:pict>
      </w:r>
    </w:p>
    <w:bookmarkEnd w:id="253"/>
    <w:bookmarkStart w:id="254" w:name="Xe57462a4225d70d8eba081ae704d3ec7f91a299"/>
    <w:p>
      <w:pPr>
        <w:pStyle w:val="Heading3"/>
        <w:spacing w:after="120" w:line="312" w:lineRule="auto"/>
        <w:jc w:val="left"/>
      </w:pPr>
      <w:r>
        <w:rPr>
          <w:rFonts w:ascii="DejaVu Serif" w:hAnsi="DejaVu Serif" w:eastAsia="Noto Serif CJK SC"/>
          <w:color w:val="000000"/>
          <w:sz w:val="26"/>
        </w:rPr>
        <w:t xml:space="preserve">Annex A.05.001</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Implementation Rules for Anti-Extremism, Credit Evaluation, and Individual Belief Support</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(and Correction Bill No. 3) (Verbatim Full Text)</w:t>
      </w:r>
    </w:p>
    <w:p>
      <w:pPr>
        <w:pStyle w:val="FirstParagraph"/>
        <w:spacing w:after="120" w:line="312" w:lineRule="auto"/>
      </w:pPr>
      <w:r>
        <w:rPr>
          <w:rFonts w:ascii="DejaVu Serif" w:hAnsi="DejaVu Serif" w:eastAsia="Noto Serif CJK SC"/>
          <w:color w:val="000000"/>
          <w:sz w:val="22"/>
        </w:rPr>
        <w:t xml:space="preserve">【Verbatim Full Text】</w:t>
      </w:r>
    </w:p>
    <w:p>
      <w:pPr>
        <w:pStyle w:val="BodyText"/>
        <w:spacing w:after="120" w:line="312" w:lineRule="auto"/>
      </w:pPr>
      <w:r>
        <w:rPr>
          <w:rFonts w:ascii="DejaVu Serif" w:hAnsi="DejaVu Serif" w:eastAsia="Noto Serif CJK SC"/>
          <w:color w:val="000000"/>
          <w:sz w:val="22"/>
        </w:rPr>
        <w:t xml:space="preserve">the Charter of Life Action (the 60th Principled Final Correction)</w:t>
      </w:r>
    </w:p>
    <w:p>
      <w:pPr>
        <w:pStyle w:val="BodyText"/>
        <w:spacing w:after="120" w:line="312" w:lineRule="auto"/>
      </w:pPr>
      <w:r>
        <w:rPr>
          <w:rFonts w:ascii="DejaVu Serif" w:hAnsi="DejaVu Serif" w:eastAsia="Noto Serif CJK SC"/>
          <w:color w:val="000000"/>
          <w:sz w:val="22"/>
        </w:rPr>
        <w:t xml:space="preserve">Correction Bill No. 3</w:t>
      </w:r>
    </w:p>
    <w:p>
      <w:pPr>
        <w:pStyle w:val="BodyText"/>
        <w:spacing w:after="120" w:line="312" w:lineRule="auto"/>
      </w:pPr>
      <w:r>
        <w:rPr>
          <w:rFonts w:ascii="DejaVu Serif" w:hAnsi="DejaVu Serif" w:eastAsia="Noto Serif CJK SC"/>
          <w:color w:val="000000"/>
          <w:sz w:val="22"/>
        </w:rPr>
        <w:t xml:space="preserve">This Correction Bill No. 3 is made pursuant to Articles 122 to 126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Charter of Life Action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It shall be implemented from this day (October 7, 2025).</w:t>
      </w:r>
    </w:p>
    <w:p>
      <w:pPr>
        <w:pStyle w:val="BodyText"/>
        <w:spacing w:after="120" w:line="312" w:lineRule="auto"/>
      </w:pPr>
      <w:r>
        <w:rPr>
          <w:rFonts w:ascii="DejaVu Serif" w:hAnsi="DejaVu Serif" w:eastAsia="Noto Serif CJK SC"/>
          <w:color w:val="000000"/>
          <w:sz w:val="22"/>
        </w:rPr>
        <w:t xml:space="preserve">Seven Articles are added to the original Article 127, as Correction Bill (III) to the Charter of Life Action (the 60th Principled Final Correction), with the new content as follows:</w:t>
      </w:r>
    </w:p>
    <w:p>
      <w:pPr>
        <w:pStyle w:val="BodyText"/>
        <w:spacing w:after="120" w:line="312" w:lineRule="auto"/>
      </w:pPr>
      <w:r>
        <w:rPr>
          <w:rFonts w:ascii="DejaVu Serif" w:hAnsi="DejaVu Serif" w:eastAsia="Noto Serif CJK SC"/>
          <w:color w:val="000000"/>
          <w:sz w:val="22"/>
        </w:rPr>
        <w:t xml:space="preserve">Article 128 Core Definition of Civilizational Success The advancement of civilization is not marked by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eradication of the shadow of human nature (such as extreme egoistic personality)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but is measured by two core indicators:</w:t>
      </w:r>
    </w:p>
    <w:p>
      <w:pPr>
        <w:numPr>
          <w:ilvl w:val="0"/>
          <w:numId w:val="1091"/>
        </w:numPr>
        <w:spacing w:after="120" w:line="312" w:lineRule="auto"/>
      </w:pPr>
      <w:r>
        <w:rPr>
          <w:rFonts w:ascii="DejaVu Serif" w:hAnsi="DejaVu Serif" w:eastAsia="Noto Serif CJK SC"/>
          <w:color w:val="000000"/>
          <w:sz w:val="22"/>
        </w:rPr>
        <w:t xml:space="preserve">The majority can stably enjoy an abundant life based on trust, cooperation, and love;</w:t>
      </w:r>
    </w:p>
    <w:p>
      <w:pPr>
        <w:numPr>
          <w:ilvl w:val="0"/>
          <w:numId w:val="1091"/>
        </w:numPr>
        <w:spacing w:after="120" w:line="312" w:lineRule="auto"/>
      </w:pPr>
      <w:r>
        <w:rPr>
          <w:rFonts w:ascii="DejaVu Serif" w:hAnsi="DejaVu Serif" w:eastAsia="Noto Serif CJK SC"/>
          <w:color w:val="000000"/>
          <w:sz w:val="22"/>
        </w:rPr>
        <w:t xml:space="preserve">Extreme personalities and their philosophies of existence are marginalized and neutralized, unable to impact the mainstream values of civilization.</w:t>
      </w:r>
    </w:p>
    <w:p>
      <w:pPr>
        <w:pStyle w:val="FirstParagraph"/>
        <w:spacing w:after="120" w:line="312" w:lineRule="auto"/>
      </w:pPr>
      <w:r>
        <w:rPr>
          <w:rFonts w:ascii="DejaVu Serif" w:hAnsi="DejaVu Serif" w:eastAsia="Noto Serif CJK SC"/>
          <w:color w:val="000000"/>
          <w:sz w:val="22"/>
        </w:rPr>
        <w:t xml:space="preserve">Article 129 Denial of Legitimacy for Extreme Survival Strategies Any mode of existence that meets any of the following conditions constitutes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failure at the philosophical level,</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lacks the legitimacy recognized by civilization, shall not be included in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success paradigm</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for dissemination, and shall not serve as a value reference within the scope of Charter application:</w:t>
      </w:r>
    </w:p>
    <w:p>
      <w:pPr>
        <w:numPr>
          <w:ilvl w:val="0"/>
          <w:numId w:val="1092"/>
        </w:numPr>
        <w:spacing w:after="120" w:line="312" w:lineRule="auto"/>
      </w:pPr>
      <w:r>
        <w:rPr>
          <w:rFonts w:ascii="DejaVu Serif" w:hAnsi="DejaVu Serif" w:eastAsia="Noto Serif CJK SC"/>
          <w:color w:val="000000"/>
          <w:sz w:val="22"/>
        </w:rPr>
        <w:t xml:space="preserve">Treating</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bottom line of criminal law as the sole behavioral guideline in any circumstance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p>
    <w:p>
      <w:pPr>
        <w:numPr>
          <w:ilvl w:val="0"/>
          <w:numId w:val="1092"/>
        </w:numPr>
        <w:spacing w:after="120" w:line="312" w:lineRule="auto"/>
      </w:pPr>
      <w:r>
        <w:rPr>
          <w:rFonts w:ascii="DejaVu Serif" w:hAnsi="DejaVu Serif" w:eastAsia="Noto Serif CJK SC"/>
          <w:color w:val="000000"/>
          <w:sz w:val="22"/>
        </w:rPr>
        <w:t xml:space="preserve">Extracting benefits at the expense of unconditional sacrifice of others’ interests and social trust.</w:t>
      </w:r>
    </w:p>
    <w:p>
      <w:pPr>
        <w:pStyle w:val="FirstParagraph"/>
        <w:spacing w:after="120" w:line="312" w:lineRule="auto"/>
      </w:pPr>
      <w:r>
        <w:rPr>
          <w:rFonts w:ascii="DejaVu Serif" w:hAnsi="DejaVu Serif" w:eastAsia="Noto Serif CJK SC"/>
          <w:color w:val="000000"/>
          <w:sz w:val="22"/>
        </w:rPr>
        <w:t xml:space="preserve">Article 130 Implementation Rules for the Credit Wall Within the framework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Rules System</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chapter of the Charter, supplement the specific requirements for the credit evaluation mechanism:</w:t>
      </w:r>
    </w:p>
    <w:p>
      <w:pPr>
        <w:pStyle w:val="BodyText"/>
        <w:spacing w:after="120" w:line="312" w:lineRule="auto"/>
      </w:pPr>
      <w:r>
        <w:rPr>
          <w:rFonts w:ascii="DejaVu Serif" w:hAnsi="DejaVu Serif" w:eastAsia="Noto Serif CJK SC"/>
          <w:color w:val="000000"/>
          <w:sz w:val="22"/>
        </w:rPr>
        <w:t xml:space="preserve">The Charter should advocate for the establishment of a cross-domain credit evaluation system, incorporating specific</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extreme egoistic behaviors (including but not limited to malicious sabotage of cooperation, serious violation of public order and good customs, intentional betrayal of others’ trust)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into the credit negative list, and limit such behavior subjects through the following methods, significantly increasing their survival costs:</w:t>
      </w:r>
    </w:p>
    <w:p>
      <w:pPr>
        <w:numPr>
          <w:ilvl w:val="0"/>
          <w:numId w:val="1093"/>
        </w:numPr>
        <w:spacing w:after="120" w:line="312" w:lineRule="auto"/>
      </w:pPr>
      <w:r>
        <w:rPr>
          <w:rFonts w:ascii="DejaVu Serif" w:hAnsi="DejaVu Serif" w:eastAsia="Noto Serif CJK SC"/>
          <w:color w:val="000000"/>
          <w:sz w:val="22"/>
        </w:rPr>
        <w:t xml:space="preserve">Limiting channels for accessing public resources;</w:t>
      </w:r>
    </w:p>
    <w:p>
      <w:pPr>
        <w:numPr>
          <w:ilvl w:val="0"/>
          <w:numId w:val="1093"/>
        </w:numPr>
        <w:spacing w:after="120" w:line="312" w:lineRule="auto"/>
      </w:pPr>
      <w:r>
        <w:rPr>
          <w:rFonts w:ascii="DejaVu Serif" w:hAnsi="DejaVu Serif" w:eastAsia="Noto Serif CJK SC"/>
          <w:color w:val="000000"/>
          <w:sz w:val="22"/>
        </w:rPr>
        <w:t xml:space="preserve">Limiting business cooperation opportunities;</w:t>
      </w:r>
    </w:p>
    <w:p>
      <w:pPr>
        <w:numPr>
          <w:ilvl w:val="0"/>
          <w:numId w:val="1093"/>
        </w:numPr>
        <w:spacing w:after="120" w:line="312" w:lineRule="auto"/>
      </w:pPr>
      <w:r>
        <w:rPr>
          <w:rFonts w:ascii="DejaVu Serif" w:hAnsi="DejaVu Serif" w:eastAsia="Noto Serif CJK SC"/>
          <w:color w:val="000000"/>
          <w:sz w:val="22"/>
        </w:rPr>
        <w:t xml:space="preserve">Limiting pathways for acquiring social trust.</w:t>
      </w:r>
    </w:p>
    <w:p>
      <w:pPr>
        <w:pStyle w:val="FirstParagraph"/>
        <w:spacing w:after="120" w:line="312" w:lineRule="auto"/>
      </w:pPr>
      <w:r>
        <w:rPr>
          <w:rFonts w:ascii="DejaVu Serif" w:hAnsi="DejaVu Serif" w:eastAsia="Noto Serif CJK SC"/>
          <w:color w:val="000000"/>
          <w:sz w:val="22"/>
        </w:rPr>
        <w:t xml:space="preserve">Article 131 Obligation Setting for Educational Guidance Within the framework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Civilizational Inheritance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chapter of the Charter, clarify the guiding obligations of the education system:</w:t>
      </w:r>
    </w:p>
    <w:p>
      <w:pPr>
        <w:pStyle w:val="BodyText"/>
        <w:spacing w:after="120" w:line="312" w:lineRule="auto"/>
      </w:pPr>
      <w:r>
        <w:rPr>
          <w:rFonts w:ascii="DejaVu Serif" w:hAnsi="DejaVu Serif" w:eastAsia="Noto Serif CJK SC"/>
          <w:color w:val="000000"/>
          <w:sz w:val="22"/>
        </w:rPr>
        <w:t xml:space="preserve">Educational activities must incorporate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spectrum of human nature cognition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value of infinite games (sustainable cooperation and inheritance)</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as compulsory content, helping individuals recognize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hidden costs of extreme survival strategies (such as loss of deep trust, inner peace)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through the following methods, and avoiding blind faith in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short-term interest supremacy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from the cognitive source:</w:t>
      </w:r>
    </w:p>
    <w:p>
      <w:pPr>
        <w:numPr>
          <w:ilvl w:val="0"/>
          <w:numId w:val="1094"/>
        </w:numPr>
        <w:spacing w:after="120" w:line="312" w:lineRule="auto"/>
      </w:pPr>
      <w:r>
        <w:rPr>
          <w:rFonts w:ascii="DejaVu Serif" w:hAnsi="DejaVu Serif" w:eastAsia="Noto Serif CJK SC"/>
          <w:color w:val="000000"/>
          <w:sz w:val="22"/>
        </w:rPr>
        <w:t xml:space="preserve">Case analysis;</w:t>
      </w:r>
    </w:p>
    <w:p>
      <w:pPr>
        <w:numPr>
          <w:ilvl w:val="0"/>
          <w:numId w:val="1094"/>
        </w:numPr>
        <w:spacing w:after="120" w:line="312" w:lineRule="auto"/>
      </w:pPr>
      <w:r>
        <w:rPr>
          <w:rFonts w:ascii="DejaVu Serif" w:hAnsi="DejaVu Serif" w:eastAsia="Noto Serif CJK SC"/>
          <w:color w:val="000000"/>
          <w:sz w:val="22"/>
        </w:rPr>
        <w:t xml:space="preserve">Value comparison.</w:t>
      </w:r>
    </w:p>
    <w:p>
      <w:pPr>
        <w:pStyle w:val="FirstParagraph"/>
        <w:spacing w:after="120" w:line="312" w:lineRule="auto"/>
      </w:pPr>
      <w:r>
        <w:rPr>
          <w:rFonts w:ascii="DejaVu Serif" w:hAnsi="DejaVu Serif" w:eastAsia="Noto Serif CJK SC"/>
          <w:color w:val="000000"/>
          <w:sz w:val="22"/>
        </w:rPr>
        <w:t xml:space="preserve">Article 132 Individual Belief Maintenance and Social Support Within the framework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Individual Rights and Responsibilities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chapter of the Charter, supplement the rights to individual belief maintenance and social support mechanisms:</w:t>
      </w:r>
    </w:p>
    <w:p>
      <w:pPr>
        <w:pStyle w:val="Compact"/>
        <w:numPr>
          <w:ilvl w:val="0"/>
          <w:numId w:val="1095"/>
        </w:numPr>
        <w:spacing w:after="120" w:line="312" w:lineRule="auto"/>
      </w:pPr>
      <w:r>
        <w:rPr>
          <w:rFonts w:ascii="DejaVu Serif" w:hAnsi="DejaVu Serif" w:eastAsia="Noto Serif CJK SC"/>
          <w:color w:val="000000"/>
          <w:sz w:val="22"/>
        </w:rPr>
        <w:t xml:space="preserve">Individuals have the right to resist the impact of extreme survival philosophies and maintain the stability of their own beliefs through the following methods:</w:t>
      </w:r>
    </w:p>
    <w:p>
      <w:pPr>
        <w:numPr>
          <w:ilvl w:val="0"/>
          <w:numId w:val="1096"/>
        </w:numPr>
        <w:spacing w:after="120" w:line="312" w:lineRule="auto"/>
      </w:pPr>
      <w:r>
        <w:rPr>
          <w:rFonts w:ascii="DejaVu Serif" w:hAnsi="DejaVu Serif" w:eastAsia="Noto Serif CJK SC"/>
          <w:color w:val="000000"/>
          <w:sz w:val="22"/>
        </w:rPr>
        <w:t xml:space="preserve">Adhering to building a personal moat based on the moral standards of this Charter;</w:t>
      </w:r>
    </w:p>
    <w:p>
      <w:pPr>
        <w:numPr>
          <w:ilvl w:val="0"/>
          <w:numId w:val="1096"/>
        </w:numPr>
        <w:spacing w:after="120" w:line="312" w:lineRule="auto"/>
      </w:pPr>
      <w:r>
        <w:rPr>
          <w:rFonts w:ascii="DejaVu Serif" w:hAnsi="DejaVu Serif" w:eastAsia="Noto Serif CJK SC"/>
          <w:color w:val="000000"/>
          <w:sz w:val="22"/>
        </w:rPr>
        <w:t xml:space="preserve">Refusing to equate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short-term gains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of extreme personalities with</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success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p>
    <w:p>
      <w:pPr>
        <w:numPr>
          <w:ilvl w:val="0"/>
          <w:numId w:val="1096"/>
        </w:numPr>
        <w:spacing w:after="120" w:line="312" w:lineRule="auto"/>
      </w:pPr>
      <w:r>
        <w:rPr>
          <w:rFonts w:ascii="DejaVu Serif" w:hAnsi="DejaVu Serif" w:eastAsia="Noto Serif CJK SC"/>
          <w:color w:val="000000"/>
          <w:sz w:val="22"/>
        </w:rPr>
        <w:t xml:space="preserve">Proactively participating in the construction of trust-based social networks.</w:t>
      </w:r>
    </w:p>
    <w:p>
      <w:pPr>
        <w:pStyle w:val="Compact"/>
        <w:numPr>
          <w:ilvl w:val="0"/>
          <w:numId w:val="1097"/>
        </w:numPr>
        <w:spacing w:after="120" w:line="312" w:lineRule="auto"/>
      </w:pPr>
      <w:r>
        <w:rPr>
          <w:rFonts w:ascii="DejaVu Serif" w:hAnsi="DejaVu Serif" w:eastAsia="Noto Serif CJK SC"/>
          <w:color w:val="000000"/>
          <w:sz w:val="22"/>
        </w:rPr>
        <w:t xml:space="preserve">The civilizational system must provide necessary social support for individuals who practice the above behaviors, including but not limited to the following situations:</w:t>
      </w:r>
    </w:p>
    <w:p>
      <w:pPr>
        <w:numPr>
          <w:ilvl w:val="0"/>
          <w:numId w:val="1098"/>
        </w:numPr>
        <w:spacing w:after="120" w:line="312" w:lineRule="auto"/>
      </w:pPr>
      <w:r>
        <w:rPr>
          <w:rFonts w:ascii="DejaVu Serif" w:hAnsi="DejaVu Serif" w:eastAsia="Noto Serif CJK SC"/>
          <w:color w:val="000000"/>
          <w:sz w:val="22"/>
        </w:rPr>
        <w:t xml:space="preserve">Credit bonus;</w:t>
      </w:r>
    </w:p>
    <w:p>
      <w:pPr>
        <w:numPr>
          <w:ilvl w:val="0"/>
          <w:numId w:val="1098"/>
        </w:numPr>
        <w:spacing w:after="120" w:line="312" w:lineRule="auto"/>
      </w:pPr>
      <w:r>
        <w:rPr>
          <w:rFonts w:ascii="DejaVu Serif" w:hAnsi="DejaVu Serif" w:eastAsia="Noto Serif CJK SC"/>
          <w:color w:val="000000"/>
          <w:sz w:val="22"/>
        </w:rPr>
        <w:t xml:space="preserve">Priority recommendation for cooperation;</w:t>
      </w:r>
    </w:p>
    <w:p>
      <w:pPr>
        <w:numPr>
          <w:ilvl w:val="0"/>
          <w:numId w:val="1098"/>
        </w:numPr>
        <w:spacing w:after="120" w:line="312" w:lineRule="auto"/>
      </w:pPr>
      <w:r>
        <w:rPr>
          <w:rFonts w:ascii="DejaVu Serif" w:hAnsi="DejaVu Serif" w:eastAsia="Noto Serif CJK SC"/>
          <w:color w:val="000000"/>
          <w:sz w:val="22"/>
        </w:rPr>
        <w:t xml:space="preserve">Positive value promotion.</w:t>
      </w:r>
    </w:p>
    <w:p>
      <w:pPr>
        <w:pStyle w:val="FirstParagraph"/>
        <w:spacing w:after="120" w:line="312" w:lineRule="auto"/>
      </w:pPr>
      <w:r>
        <w:rPr>
          <w:rFonts w:ascii="DejaVu Serif" w:hAnsi="DejaVu Serif" w:eastAsia="Noto Serif CJK SC"/>
          <w:color w:val="000000"/>
          <w:sz w:val="22"/>
        </w:rPr>
        <w:t xml:space="preserve">Article 133 Minimal Necessity Explanation for Correction This Correction Bill achieves repair only through this article and the preceding five articles, without adding complex chapters or modifying the original provisions of the Charter. It focuses on the three pain points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eradicating the crisis of faith,</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fully complying with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minimal necessary repair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principle. The specific pain points are as follows:</w:t>
      </w:r>
    </w:p>
    <w:p>
      <w:pPr>
        <w:numPr>
          <w:ilvl w:val="0"/>
          <w:numId w:val="1099"/>
        </w:numPr>
        <w:spacing w:after="120" w:line="312" w:lineRule="auto"/>
      </w:pPr>
      <w:r>
        <w:rPr>
          <w:rFonts w:ascii="DejaVu Serif" w:hAnsi="DejaVu Serif" w:eastAsia="Noto Serif CJK SC"/>
          <w:color w:val="000000"/>
          <w:sz w:val="22"/>
        </w:rPr>
        <w:t xml:space="preserve">Ambiguous value definition;</w:t>
      </w:r>
    </w:p>
    <w:p>
      <w:pPr>
        <w:numPr>
          <w:ilvl w:val="0"/>
          <w:numId w:val="1099"/>
        </w:numPr>
        <w:spacing w:after="120" w:line="312" w:lineRule="auto"/>
      </w:pPr>
      <w:r>
        <w:rPr>
          <w:rFonts w:ascii="DejaVu Serif" w:hAnsi="DejaVu Serif" w:eastAsia="Noto Serif CJK SC"/>
          <w:color w:val="000000"/>
          <w:sz w:val="22"/>
        </w:rPr>
        <w:t xml:space="preserve">Lack of response mechanisms;</w:t>
      </w:r>
    </w:p>
    <w:p>
      <w:pPr>
        <w:numPr>
          <w:ilvl w:val="0"/>
          <w:numId w:val="1099"/>
        </w:numPr>
        <w:spacing w:after="120" w:line="312" w:lineRule="auto"/>
      </w:pPr>
      <w:r>
        <w:rPr>
          <w:rFonts w:ascii="DejaVu Serif" w:hAnsi="DejaVu Serif" w:eastAsia="Noto Serif CJK SC"/>
          <w:color w:val="000000"/>
          <w:sz w:val="22"/>
        </w:rPr>
        <w:t xml:space="preserve">No support for individual beliefs.</w:t>
      </w:r>
    </w:p>
    <w:p>
      <w:pPr>
        <w:pStyle w:val="FirstParagraph"/>
        <w:spacing w:after="120" w:line="312" w:lineRule="auto"/>
      </w:pPr>
      <w:r>
        <w:rPr>
          <w:rFonts w:ascii="DejaVu Serif" w:hAnsi="DejaVu Serif" w:eastAsia="Noto Serif CJK SC"/>
          <w:color w:val="000000"/>
          <w:sz w:val="22"/>
        </w:rPr>
        <w:t xml:space="preserve">Article 134 The Logic of Eradicating the Crisis of Faith and Its Applicable Effectiveness</w:t>
      </w:r>
    </w:p>
    <w:p>
      <w:pPr>
        <w:numPr>
          <w:ilvl w:val="0"/>
          <w:numId w:val="1100"/>
        </w:numPr>
        <w:spacing w:after="120" w:line="312" w:lineRule="auto"/>
      </w:pPr>
      <w:r>
        <w:rPr>
          <w:rFonts w:ascii="DejaVu Serif" w:hAnsi="DejaVu Serif" w:eastAsia="Noto Serif CJK SC"/>
          <w:color w:val="000000"/>
          <w:sz w:val="22"/>
        </w:rPr>
        <w:t xml:space="preserve">The provisions of this Chapter eliminate the risk of wavering faith through three dimensions, ultimately ensuring that the core faith of the Charter—that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civilization can coexist with shadows and always lead toward light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—possesses an unshakable practical foundation and cognitive basis. The specific dimensions are as follows:</w:t>
      </w:r>
    </w:p>
    <w:p>
      <w:pPr>
        <w:numPr>
          <w:ilvl w:val="0"/>
          <w:numId w:val="1100"/>
        </w:numPr>
        <w:spacing w:after="120" w:line="312" w:lineRule="auto"/>
      </w:pPr>
      <w:r>
        <w:rPr>
          <w:rFonts w:ascii="DejaVu Serif" w:hAnsi="DejaVu Serif" w:eastAsia="Noto Serif CJK SC"/>
          <w:color w:val="000000"/>
          <w:sz w:val="22"/>
        </w:rPr>
        <w:t xml:space="preserve">Clarifying value standards to compress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legitimacy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space for extreme philosophies;</w:t>
      </w:r>
    </w:p>
    <w:p>
      <w:pPr>
        <w:numPr>
          <w:ilvl w:val="0"/>
          <w:numId w:val="1100"/>
        </w:numPr>
        <w:spacing w:after="120" w:line="312" w:lineRule="auto"/>
      </w:pPr>
      <w:r>
        <w:rPr>
          <w:rFonts w:ascii="DejaVu Serif" w:hAnsi="DejaVu Serif" w:eastAsia="Noto Serif CJK SC"/>
          <w:color w:val="000000"/>
          <w:sz w:val="22"/>
        </w:rPr>
        <w:t xml:space="preserve">Perfecting system constraints to compress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survival</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space for extreme behaviors;</w:t>
      </w:r>
    </w:p>
    <w:p>
      <w:pPr>
        <w:numPr>
          <w:ilvl w:val="0"/>
          <w:numId w:val="1100"/>
        </w:numPr>
        <w:spacing w:after="120" w:line="312" w:lineRule="auto"/>
      </w:pPr>
      <w:r>
        <w:rPr>
          <w:rFonts w:ascii="DejaVu Serif" w:hAnsi="DejaVu Serif" w:eastAsia="Noto Serif CJK SC"/>
          <w:color w:val="000000"/>
          <w:sz w:val="22"/>
        </w:rPr>
        <w:t xml:space="preserve">Empowering individual choices to expand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support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space for positive faiths.</w:t>
      </w:r>
    </w:p>
    <w:p>
      <w:pPr>
        <w:numPr>
          <w:ilvl w:val="0"/>
          <w:numId w:val="1100"/>
        </w:numPr>
        <w:spacing w:after="120" w:line="312" w:lineRule="auto"/>
      </w:pPr>
      <w:r>
        <w:rPr>
          <w:rFonts w:ascii="DejaVu Serif" w:hAnsi="DejaVu Serif" w:eastAsia="Noto Serif CJK SC"/>
          <w:color w:val="000000"/>
          <w:sz w:val="22"/>
        </w:rPr>
        <w:t xml:space="preserve">The provisions of this Chapter shall have the same effect as the original provisions of the Charter and shall be implemented simultaneously from the date of promulgation;</w:t>
      </w:r>
    </w:p>
    <w:p>
      <w:pPr>
        <w:numPr>
          <w:ilvl w:val="0"/>
          <w:numId w:val="1100"/>
        </w:numPr>
        <w:spacing w:after="120" w:line="312" w:lineRule="auto"/>
      </w:pPr>
      <w:r>
        <w:rPr>
          <w:rFonts w:ascii="DejaVu Serif" w:hAnsi="DejaVu Serif" w:eastAsia="Noto Serif CJK SC"/>
          <w:color w:val="000000"/>
          <w:sz w:val="22"/>
        </w:rPr>
        <w:t xml:space="preserve">The right to interpret the provisions of this Chapter belongs to the Charter-Maker. Unmatters not covered herein shall be handled with reference to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Unmatters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provisions of the Charter.</w:t>
      </w:r>
    </w:p>
    <w:p>
      <w:pPr>
        <w:pStyle w:val="FirstParagraph"/>
        <w:spacing w:after="120" w:line="312" w:lineRule="auto"/>
      </w:pPr>
      <w:r>
        <w:rPr>
          <w:rFonts w:ascii="DejaVu Serif" w:hAnsi="DejaVu Serif" w:eastAsia="Noto Serif CJK SC"/>
          <w:color w:val="000000"/>
          <w:sz w:val="22"/>
        </w:rPr>
        <w:t xml:space="preserve">Signatory of the Charter Rectification Bill (Rectification) Maker:</w:t>
      </w:r>
    </w:p>
    <w:p>
      <w:pPr>
        <w:spacing w:after="120" w:line="312" w:lineRule="auto"/>
      </w:pPr>
      <w:r>
        <w:rPr>
          <w:rFonts w:ascii="DejaVu Serif" w:hAnsi="DejaVu Serif" w:eastAsia="Noto Serif CJK SC"/>
          <w:color w:val="000000"/>
          <w:sz w:val="22"/>
        </w:rPr>
        <w:pict>
          <v:rect style="width:0;height:1.5pt" o:hralign="center" o:hrstd="t" o:hr="t"/>
        </w:pict>
      </w:r>
    </w:p>
    <w:bookmarkEnd w:id="254"/>
    <w:bookmarkStart w:id="255" w:name="X303c8765b804c7ec273f38c68fa76ce78f2f858"/>
    <w:p>
      <w:pPr>
        <w:pStyle w:val="Heading3"/>
        <w:spacing w:after="120" w:line="312" w:lineRule="auto"/>
        <w:jc w:val="left"/>
      </w:pPr>
      <w:r>
        <w:rPr>
          <w:rFonts w:ascii="DejaVu Serif" w:hAnsi="DejaVu Serif" w:eastAsia="Noto Serif CJK SC"/>
          <w:color w:val="000000"/>
          <w:sz w:val="26"/>
        </w:rPr>
        <w:t xml:space="preserve">Annex A.06.001 The Verbatim Full Text of the</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Correction Bill on the Civilizationalization of Specific Expressions in Civil Cooperation</w:t>
      </w:r>
      <w:r>
        <w:rPr>
          <w:rFonts w:ascii="DejaVu Serif" w:hAnsi="DejaVu Serif" w:eastAsia="Noto Serif CJK SC"/>
          <w:color w:val="000000"/>
          <w:sz w:val="26"/>
        </w:rPr>
        <w:t xml:space="preserve">”</w:t>
      </w:r>
    </w:p>
    <w:p>
      <w:pPr>
        <w:pStyle w:val="FirstParagraph"/>
        <w:spacing w:after="120" w:line="312" w:lineRule="auto"/>
      </w:pPr>
      <w:r>
        <w:rPr>
          <w:rFonts w:ascii="DejaVu Serif" w:hAnsi="DejaVu Serif" w:eastAsia="Noto Serif CJK SC"/>
          <w:color w:val="000000"/>
          <w:sz w:val="22"/>
        </w:rPr>
        <w:t xml:space="preserve">【Verbatim Full Text】</w:t>
      </w:r>
    </w:p>
    <w:p>
      <w:pPr>
        <w:pStyle w:val="BodyText"/>
        <w:spacing w:after="120" w:line="312" w:lineRule="auto"/>
      </w:pPr>
      <w:r>
        <w:rPr>
          <w:rFonts w:ascii="DejaVu Serif" w:hAnsi="DejaVu Serif" w:eastAsia="Noto Serif CJK SC"/>
          <w:color w:val="000000"/>
          <w:sz w:val="22"/>
        </w:rPr>
        <w:t xml:space="preserve">The Correction Bill on the Civilizationalization of Specific Expressions in Civil Cooperation in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Charter of Life Action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(Correction Bill No.: A.06.001)</w:t>
      </w:r>
    </w:p>
    <w:p>
      <w:pPr>
        <w:pStyle w:val="BodyText"/>
        <w:spacing w:after="120" w:line="312" w:lineRule="auto"/>
      </w:pPr>
      <w:r>
        <w:rPr>
          <w:rFonts w:ascii="DejaVu Serif" w:hAnsi="DejaVu Serif" w:eastAsia="Noto Serif CJK SC"/>
          <w:color w:val="000000"/>
          <w:sz w:val="22"/>
        </w:rPr>
        <w:t xml:space="preserve">Charter-Maker: Sun Yujun (Aaron Suen) Basis of Establishment: Based on the ultimate right of interpretation and revision granted to the Charter-Maker by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Charter of Life Action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Date of Establishment: February 21, 2026 Date of Effectiveness: February 21, 2026</w:t>
      </w:r>
    </w:p>
    <w:p>
      <w:pPr>
        <w:pStyle w:val="BodyText"/>
        <w:spacing w:after="120" w:line="312" w:lineRule="auto"/>
      </w:pPr>
      <w:r>
        <w:rPr>
          <w:rFonts w:ascii="DejaVu Serif" w:hAnsi="DejaVu Serif" w:eastAsia="Noto Serif CJK SC"/>
          <w:color w:val="000000"/>
          <w:sz w:val="22"/>
        </w:rPr>
        <w:t xml:space="preserve">Article 1 The purpose of this Correction is to thoroughly implement the core spirit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opposing personal subordination and advocating equal collaboration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upheld by this Charter. To correct all expressions that may imply personal attachment or one-way dominance relationships, in terms of both concept and practical direction, into civil cooperation or partnership relationships based on equality, voluntariness, and consensus, the following provisions are hereby corrected.</w:t>
      </w:r>
    </w:p>
    <w:p>
      <w:pPr>
        <w:pStyle w:val="BodyText"/>
        <w:spacing w:after="120" w:line="312" w:lineRule="auto"/>
      </w:pPr>
      <w:r>
        <w:rPr>
          <w:rFonts w:ascii="DejaVu Serif" w:hAnsi="DejaVu Serif" w:eastAsia="Noto Serif CJK SC"/>
          <w:color w:val="000000"/>
          <w:sz w:val="22"/>
        </w:rPr>
        <w:t xml:space="preserve">Article 2 Specific Provisions Correction The following corrections are presented in a format comparing</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Original Provisions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Corrected Provisions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The corrected provisions shall completely replace the effectiveness of the corresponding parts in the original provisions from the date of effectiveness of this Amendment.</w:t>
      </w:r>
    </w:p>
    <w:p>
      <w:pPr>
        <w:pStyle w:val="Compact"/>
        <w:numPr>
          <w:ilvl w:val="0"/>
          <w:numId w:val="1101"/>
        </w:numPr>
        <w:spacing w:after="120" w:line="312" w:lineRule="auto"/>
      </w:pPr>
      <w:r>
        <w:rPr>
          <w:rFonts w:ascii="DejaVu Serif" w:hAnsi="DejaVu Serif" w:eastAsia="Noto Serif CJK SC"/>
          <w:color w:val="000000"/>
          <w:sz w:val="22"/>
        </w:rPr>
        <w:t xml:space="preserve">Correction of expressions in Articles 62 to 66 【Life Stages and Action Modes】 Original Provisions (excerpted from the combined edition, describing financial development path):</w:t>
      </w:r>
    </w:p>
    <w:p>
      <w:pPr>
        <w:pStyle w:val="FirstParagraph"/>
        <w:spacing w:after="120" w:line="312" w:lineRule="auto"/>
      </w:pPr>
      <w:r>
        <w:rPr>
          <w:rFonts w:ascii="DejaVu Serif" w:hAnsi="DejaVu Serif" w:eastAsia="Noto Serif CJK SC"/>
          <w:color w:val="000000"/>
          <w:sz w:val="22"/>
        </w:rPr>
        <w:t xml:space="preserve">“</w:t>
      </w:r>
      <w:r>
        <w:rPr>
          <w:rFonts w:ascii="DejaVu Serif" w:hAnsi="DejaVu Serif" w:eastAsia="Noto Serif CJK SC"/>
          <w:color w:val="000000"/>
          <w:sz w:val="22"/>
        </w:rPr>
        <w:t xml:space="preserve">Working for others -&gt; Working for oneself (selling time) -&gt; Selling time in bulk (creating courses) -&gt; Hiring people to work -&gt; Company automation -&gt; Making money with money -&gt; Establishing funds/trusts -&gt; Writing books and disseminating knowledge.</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w:t>
      </w:r>
      <w:r>
        <w:rPr>
          <w:rFonts w:ascii="DejaVu Serif" w:hAnsi="DejaVu Serif" w:eastAsia="Noto Serif CJK SC"/>
          <w:color w:val="000000"/>
          <w:sz w:val="22"/>
        </w:rPr>
        <w:t xml:space="preserve">Providing specialized labor collaboration for others -&gt; Working for oneself (selling professional services) -&gt; Productizing and standardizing services -&gt; Integrating resources and expertise through establishing civil cooperation or partnership relationships -&gt; Building automated operational systems -&gt; Engaging in capital operations -&gt; Establishing fund or trust structures -&gt; Engaging in ideological and knowledge output.</w:t>
      </w:r>
      <w:r>
        <w:rPr>
          <w:rFonts w:ascii="DejaVu Serif" w:hAnsi="DejaVu Serif" w:eastAsia="Noto Serif CJK SC"/>
          <w:color w:val="000000"/>
          <w:sz w:val="22"/>
        </w:rPr>
        <w:t xml:space="preserve">”</w:t>
      </w:r>
    </w:p>
    <w:p>
      <w:pPr>
        <w:pStyle w:val="Compact"/>
        <w:numPr>
          <w:ilvl w:val="0"/>
          <w:numId w:val="1102"/>
        </w:numPr>
        <w:spacing w:after="120" w:line="312" w:lineRule="auto"/>
      </w:pPr>
      <w:r>
        <w:rPr>
          <w:rFonts w:ascii="DejaVu Serif" w:hAnsi="DejaVu Serif" w:eastAsia="Noto Serif CJK SC"/>
          <w:color w:val="000000"/>
          <w:sz w:val="22"/>
        </w:rPr>
        <w:t xml:space="preserve">Correction of Article 63 【Financial Ark Construction: Macro-Period Stage Division】 Original Provisions:</w:t>
      </w:r>
    </w:p>
    <w:p>
      <w:pPr>
        <w:pStyle w:val="FirstParagraph"/>
        <w:spacing w:after="120" w:line="312" w:lineRule="auto"/>
      </w:pP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Era of Team Formation (the era of hiring others to work for oneself)</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Era of Team-based (Partnership/Collaborative) Collaboration (the era of resource integration through civil cooperation and partnership relations)</w:t>
      </w:r>
      <w:r>
        <w:rPr>
          <w:rFonts w:ascii="DejaVu Serif" w:hAnsi="DejaVu Serif" w:eastAsia="Noto Serif CJK SC"/>
          <w:color w:val="000000"/>
          <w:sz w:val="22"/>
        </w:rPr>
        <w:t xml:space="preserve">”</w:t>
      </w:r>
    </w:p>
    <w:p>
      <w:pPr>
        <w:pStyle w:val="Compact"/>
        <w:numPr>
          <w:ilvl w:val="0"/>
          <w:numId w:val="1103"/>
        </w:numPr>
        <w:spacing w:after="120" w:line="312" w:lineRule="auto"/>
      </w:pPr>
      <w:r>
        <w:rPr>
          <w:rFonts w:ascii="DejaVu Serif" w:hAnsi="DejaVu Serif" w:eastAsia="Noto Serif CJK SC"/>
          <w:color w:val="000000"/>
          <w:sz w:val="22"/>
        </w:rPr>
        <w:t xml:space="preserve">Correction of Note 5 to Article 29 (explanation of means for constructing asset systems) Original Provisions (partial):</w:t>
      </w:r>
    </w:p>
    <w:p>
      <w:pPr>
        <w:pStyle w:val="FirstParagraph"/>
        <w:spacing w:after="120" w:line="312" w:lineRule="auto"/>
      </w:pPr>
      <w:r>
        <w:rPr>
          <w:rFonts w:ascii="DejaVu Serif" w:hAnsi="DejaVu Serif" w:eastAsia="Noto Serif CJK SC"/>
          <w:color w:val="000000"/>
          <w:sz w:val="22"/>
        </w:rPr>
        <w:t xml:space="preserve">“</w:t>
      </w:r>
      <w:r>
        <w:rPr>
          <w:rFonts w:ascii="DejaVu Serif" w:hAnsi="DejaVu Serif" w:eastAsia="Noto Serif CJK SC"/>
          <w:color w:val="000000"/>
          <w:sz w:val="22"/>
        </w:rPr>
        <w:t xml:space="preserve">…to construct for oneself asset system objects with a monthly monetary inflow of no less than…, through the method of hiring others, so that one need never engage in any work or activities not out of one’s own subjective will for any consumption-related expenditures in one’s life.</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w:t>
      </w:r>
      <w:r>
        <w:rPr>
          <w:rFonts w:ascii="DejaVu Serif" w:hAnsi="DejaVu Serif" w:eastAsia="Noto Serif CJK SC"/>
          <w:color w:val="000000"/>
          <w:sz w:val="22"/>
        </w:rPr>
        <w:t xml:space="preserve">…to construct for oneself asset system objects with a monthly monetary inflow of no less than…, through establishing civil cooperation or partnership relationships, reasonably utilizing the expertise and time resources of cooperating parties, so that one need never engage in any work or activities not out of one’s own subjective will for any consumption-related expenditures in one’s life.</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Article 3 Rectification Interpretation</w:t>
      </w:r>
    </w:p>
    <w:p>
      <w:pPr>
        <w:numPr>
          <w:ilvl w:val="0"/>
          <w:numId w:val="1104"/>
        </w:numPr>
        <w:spacing w:after="120" w:line="312" w:lineRule="auto"/>
      </w:pPr>
      <w:r>
        <w:rPr>
          <w:rFonts w:ascii="DejaVu Serif" w:hAnsi="DejaVu Serif" w:eastAsia="Noto Serif CJK SC"/>
          <w:color w:val="000000"/>
          <w:sz w:val="22"/>
        </w:rPr>
        <w:t xml:space="preserve">This correction aims to explicitly transform the one-way dominance relationship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employer-employee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that might be interpreted from the original expressions into an equal civil legal relationship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cooperating party-cooperating party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p>
    <w:p>
      <w:pPr>
        <w:numPr>
          <w:ilvl w:val="0"/>
          <w:numId w:val="1104"/>
        </w:numPr>
        <w:spacing w:after="120" w:line="312" w:lineRule="auto"/>
      </w:pPr>
      <w:r>
        <w:rPr>
          <w:rFonts w:ascii="DejaVu Serif" w:hAnsi="DejaVu Serif" w:eastAsia="Noto Serif CJK SC"/>
          <w:color w:val="000000"/>
          <w:sz w:val="22"/>
        </w:rPr>
        <w:t xml:space="preserve">“</w:t>
      </w:r>
      <w:r>
        <w:rPr>
          <w:rFonts w:ascii="DejaVu Serif" w:hAnsi="DejaVu Serif" w:eastAsia="Noto Serif CJK SC"/>
          <w:color w:val="000000"/>
          <w:sz w:val="22"/>
        </w:rPr>
        <w:t xml:space="preserve">Reasonably utilizing others’ time and expertise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is the objective, 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civil cooperation or partnership relationship</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is the preset legal relationship form to achieve this objective.</w:t>
      </w:r>
    </w:p>
    <w:p>
      <w:pPr>
        <w:numPr>
          <w:ilvl w:val="0"/>
          <w:numId w:val="1104"/>
        </w:numPr>
        <w:spacing w:after="120" w:line="312" w:lineRule="auto"/>
      </w:pPr>
      <w:r>
        <w:rPr>
          <w:rFonts w:ascii="DejaVu Serif" w:hAnsi="DejaVu Serif" w:eastAsia="Noto Serif CJK SC"/>
          <w:color w:val="000000"/>
          <w:sz w:val="22"/>
        </w:rPr>
        <w:t xml:space="preserve">This Rectification does not alter the fundamental objective of the original Article, which is to realize the personal financial and action freedom it aims to express.</w:t>
      </w:r>
    </w:p>
    <w:p>
      <w:pPr>
        <w:pStyle w:val="FirstParagraph"/>
        <w:spacing w:after="120" w:line="312" w:lineRule="auto"/>
      </w:pPr>
      <w:r>
        <w:rPr>
          <w:rFonts w:ascii="DejaVu Serif" w:hAnsi="DejaVu Serif" w:eastAsia="Noto Serif CJK SC"/>
          <w:color w:val="000000"/>
          <w:sz w:val="22"/>
        </w:rPr>
        <w:t xml:space="preserve">To conceptually clarify and upgrade the nature of the social relationships relied upon by the implementation path.</w:t>
      </w:r>
    </w:p>
    <w:p>
      <w:pPr>
        <w:pStyle w:val="BodyText"/>
        <w:spacing w:after="120" w:line="312" w:lineRule="auto"/>
      </w:pPr>
      <w:r>
        <w:rPr>
          <w:rFonts w:ascii="DejaVu Serif" w:hAnsi="DejaVu Serif" w:eastAsia="Noto Serif CJK SC"/>
          <w:color w:val="000000"/>
          <w:sz w:val="22"/>
        </w:rPr>
        <w:t xml:space="preserve">Article 4 Retained Provisions This Correction Bill does not affect the effectiveness of Article 58 【Nature of Labor Income】 and other provisions in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Charter of Life Action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conducting social analysis and criticism of the existing employment system. Such analysis, as background cognition and warning, forms a contrast with the practical path advocated in this correction, and its value should be preserved.</w:t>
      </w:r>
    </w:p>
    <w:p>
      <w:pPr>
        <w:pStyle w:val="BodyText"/>
        <w:spacing w:after="120" w:line="312" w:lineRule="auto"/>
      </w:pPr>
      <w:r>
        <w:rPr>
          <w:rFonts w:ascii="DejaVu Serif" w:hAnsi="DejaVu Serif" w:eastAsia="Noto Serif CJK SC"/>
          <w:color w:val="000000"/>
          <w:sz w:val="22"/>
        </w:rPr>
        <w:t xml:space="preserve">Article 5 Final Effectiveness This Correction Bill shall become effective after being signed by the Charter-Maker, becoming an integral part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Charter of Life Action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with effectiveness equivalent to the original text of the Charter.</w:t>
      </w:r>
    </w:p>
    <w:p>
      <w:pPr>
        <w:pStyle w:val="BodyText"/>
        <w:spacing w:after="120" w:line="312" w:lineRule="auto"/>
      </w:pPr>
      <w:r>
        <w:rPr>
          <w:rFonts w:ascii="DejaVu Serif" w:hAnsi="DejaVu Serif" w:eastAsia="Noto Serif CJK SC"/>
          <w:color w:val="000000"/>
          <w:sz w:val="22"/>
        </w:rPr>
        <w:t xml:space="preserve">Charter-Maker’s Signature:</w:t>
      </w:r>
    </w:p>
    <w:p>
      <w:pPr>
        <w:pStyle w:val="BodyText"/>
        <w:spacing w:after="120" w:line="312" w:lineRule="auto"/>
      </w:pPr>
      <w:r>
        <w:rPr>
          <w:rFonts w:ascii="DejaVu Serif" w:hAnsi="DejaVu Serif" w:eastAsia="Noto Serif CJK SC"/>
          <w:color w:val="000000"/>
          <w:sz w:val="22"/>
        </w:rPr>
        <w:t xml:space="preserve">Sun Yujun (Aaron Suen) February 21, 2026</w:t>
      </w:r>
    </w:p>
    <w:p>
      <w:pPr>
        <w:spacing w:after="120" w:line="312" w:lineRule="auto"/>
      </w:pPr>
      <w:r>
        <w:rPr>
          <w:rFonts w:ascii="DejaVu Serif" w:hAnsi="DejaVu Serif" w:eastAsia="Noto Serif CJK SC"/>
          <w:color w:val="000000"/>
          <w:sz w:val="22"/>
        </w:rPr>
        <w:pict>
          <v:rect style="width:0;height:1.5pt" o:hralign="center" o:hrstd="t" o:hr="t"/>
        </w:pict>
      </w:r>
    </w:p>
    <w:bookmarkEnd w:id="255"/>
    <w:bookmarkStart w:id="256" w:name="X36032df9d97dc5b6a8b8837f7c7873ec68b2617"/>
    <w:p>
      <w:pPr>
        <w:pStyle w:val="Heading3"/>
        <w:spacing w:after="120" w:line="312" w:lineRule="auto"/>
        <w:jc w:val="left"/>
      </w:pPr>
      <w:r>
        <w:rPr>
          <w:rFonts w:ascii="DejaVu Serif" w:hAnsi="DejaVu Serif" w:eastAsia="Noto Serif CJK SC"/>
          <w:color w:val="000000"/>
          <w:sz w:val="26"/>
        </w:rPr>
        <w:t xml:space="preserve">Annex A.08.001 The Verbatim Full Text of the</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Implementation Rules for the Binary Iron Law of Organizational Participation</w:t>
      </w:r>
      <w:r>
        <w:rPr>
          <w:rFonts w:ascii="DejaVu Serif" w:hAnsi="DejaVu Serif" w:eastAsia="Noto Serif CJK SC"/>
          <w:color w:val="000000"/>
          <w:sz w:val="26"/>
        </w:rPr>
        <w:t xml:space="preserve">”</w:t>
      </w:r>
    </w:p>
    <w:p>
      <w:pPr>
        <w:pStyle w:val="FirstParagraph"/>
        <w:spacing w:after="120" w:line="312" w:lineRule="auto"/>
      </w:pPr>
      <w:r>
        <w:rPr>
          <w:rFonts w:ascii="DejaVu Serif" w:hAnsi="DejaVu Serif" w:eastAsia="Noto Serif CJK SC"/>
          <w:color w:val="000000"/>
          <w:sz w:val="22"/>
        </w:rPr>
        <w:t xml:space="preserve">【Verbatim Full Text】</w:t>
      </w:r>
    </w:p>
    <w:p>
      <w:pPr>
        <w:pStyle w:val="BodyText"/>
        <w:spacing w:after="120" w:line="312" w:lineRule="auto"/>
      </w:pPr>
      <w:r>
        <w:rPr>
          <w:rFonts w:ascii="DejaVu Serif" w:hAnsi="DejaVu Serif" w:eastAsia="Noto Serif CJK SC"/>
          <w:color w:val="000000"/>
          <w:sz w:val="22"/>
        </w:rPr>
        <w:t xml:space="preserve">Annex A.08.001 to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Charter of Life Action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Implementation Rules for the Binary Iron Law of Organizational Participation</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(Established pursuant to Article 144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Charter of Life Action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Article 1 【Legislative Purpose and Basis】</w:t>
      </w:r>
    </w:p>
    <w:p>
      <w:pPr>
        <w:pStyle w:val="BodyText"/>
        <w:spacing w:after="120" w:line="312" w:lineRule="auto"/>
      </w:pPr>
      <w:r>
        <w:rPr>
          <w:rFonts w:ascii="DejaVu Serif" w:hAnsi="DejaVu Serif" w:eastAsia="Noto Serif CJK SC"/>
          <w:color w:val="000000"/>
          <w:sz w:val="22"/>
        </w:rPr>
        <w:t xml:space="preserve">These rules are established pursuant to Article 144 【Binary Iron Law of Organizational Participation】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Charter of Life Action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have the same binding force as the main Charter and its other annexes, used to clarify the boundaries, criteria for determination, exceptions, and implementation requirements for the author’s participation in any organization.</w:t>
      </w:r>
    </w:p>
    <w:p>
      <w:pPr>
        <w:pStyle w:val="BodyText"/>
        <w:spacing w:after="120" w:line="312" w:lineRule="auto"/>
      </w:pPr>
      <w:r>
        <w:rPr>
          <w:rFonts w:ascii="DejaVu Serif" w:hAnsi="DejaVu Serif" w:eastAsia="Noto Serif CJK SC"/>
          <w:color w:val="000000"/>
          <w:sz w:val="22"/>
        </w:rPr>
        <w:t xml:space="preserve">Article 2 【Core Rules·Binary Limitation】</w:t>
      </w:r>
    </w:p>
    <w:p>
      <w:pPr>
        <w:pStyle w:val="BodyText"/>
        <w:spacing w:after="120" w:line="312" w:lineRule="auto"/>
      </w:pPr>
      <w:r>
        <w:rPr>
          <w:rFonts w:ascii="DejaVu Serif" w:hAnsi="DejaVu Serif" w:eastAsia="Noto Serif CJK SC"/>
          <w:color w:val="000000"/>
          <w:sz w:val="22"/>
        </w:rPr>
        <w:t xml:space="preserve">The author’s participation in any organization is limited to one of the following two situations; participation in all other cases is strictly prohibited:</w:t>
      </w:r>
    </w:p>
    <w:p>
      <w:pPr>
        <w:pStyle w:val="BodyText"/>
        <w:spacing w:after="120" w:line="312" w:lineRule="auto"/>
      </w:pPr>
      <w:r>
        <w:rPr>
          <w:rFonts w:ascii="DejaVu Serif" w:hAnsi="DejaVu Serif" w:eastAsia="Noto Serif CJK SC"/>
          <w:color w:val="000000"/>
          <w:sz w:val="22"/>
        </w:rPr>
        <w:t xml:space="preserve">（一）【Self-established Organization】An organization established by myself;</w:t>
      </w:r>
    </w:p>
    <w:p>
      <w:pPr>
        <w:pStyle w:val="BodyText"/>
        <w:spacing w:after="120" w:line="312" w:lineRule="auto"/>
      </w:pPr>
      <w:r>
        <w:rPr>
          <w:rFonts w:ascii="DejaVu Serif" w:hAnsi="DejaVu Serif" w:eastAsia="Noto Serif CJK SC"/>
          <w:color w:val="000000"/>
          <w:sz w:val="22"/>
        </w:rPr>
        <w:t xml:space="preserve">（二）【Voluntarily Joined Organization】An organization that I voluntarily join based on specific purposes, with full recognition of its mission and core members.</w:t>
      </w:r>
    </w:p>
    <w:p>
      <w:pPr>
        <w:pStyle w:val="BodyText"/>
        <w:spacing w:after="120" w:line="312" w:lineRule="auto"/>
      </w:pPr>
      <w:r>
        <w:rPr>
          <w:rFonts w:ascii="DejaVu Serif" w:hAnsi="DejaVu Serif" w:eastAsia="Noto Serif CJK SC"/>
          <w:color w:val="000000"/>
          <w:sz w:val="22"/>
        </w:rPr>
        <w:t xml:space="preserve">Article 3 【Determination of Self-established Organization】</w:t>
      </w:r>
    </w:p>
    <w:p>
      <w:pPr>
        <w:pStyle w:val="BodyText"/>
        <w:spacing w:after="120" w:line="312" w:lineRule="auto"/>
      </w:pPr>
      <w:r>
        <w:rPr>
          <w:rFonts w:ascii="DejaVu Serif" w:hAnsi="DejaVu Serif" w:eastAsia="Noto Serif CJK SC"/>
          <w:color w:val="000000"/>
          <w:sz w:val="22"/>
        </w:rPr>
        <w:t xml:space="preserve">（一）A self-established organization refers to one personally created, initiated, or led by me, in which I possess the ultimate decision-making authority over its mission, rules, and governance.</w:t>
      </w:r>
    </w:p>
    <w:p>
      <w:pPr>
        <w:pStyle w:val="BodyText"/>
        <w:spacing w:after="120" w:line="312" w:lineRule="auto"/>
      </w:pPr>
      <w:r>
        <w:rPr>
          <w:rFonts w:ascii="DejaVu Serif" w:hAnsi="DejaVu Serif" w:eastAsia="Noto Serif CJK SC"/>
          <w:color w:val="000000"/>
          <w:sz w:val="22"/>
        </w:rPr>
        <w:t xml:space="preserve">（二）Members (personnel) of a self-established organization must be personally selected and determined by me; those not personally selected and determined by me shall not be admitted to my self-established organization.</w:t>
      </w:r>
    </w:p>
    <w:p>
      <w:pPr>
        <w:pStyle w:val="BodyText"/>
        <w:spacing w:after="120" w:line="312" w:lineRule="auto"/>
      </w:pPr>
      <w:r>
        <w:rPr>
          <w:rFonts w:ascii="DejaVu Serif" w:hAnsi="DejaVu Serif" w:eastAsia="Noto Serif CJK SC"/>
          <w:color w:val="000000"/>
          <w:sz w:val="22"/>
        </w:rPr>
        <w:t xml:space="preserve">（三） In special circumstances, where I voluntarily entrust specific persons in writing to assist or act as agents in the selection process, and the selections are reviewed and signed by me,</w:t>
      </w:r>
    </w:p>
    <w:p>
      <w:pPr>
        <w:pStyle w:val="BodyText"/>
        <w:spacing w:after="120" w:line="312" w:lineRule="auto"/>
      </w:pPr>
      <w:r>
        <w:rPr>
          <w:rFonts w:ascii="DejaVu Serif" w:hAnsi="DejaVu Serif" w:eastAsia="Noto Serif CJK SC"/>
          <w:color w:val="000000"/>
          <w:sz w:val="22"/>
        </w:rPr>
        <w:t xml:space="preserve">they shall be deemed as personally selected and determined by me.</w:t>
      </w:r>
    </w:p>
    <w:p>
      <w:pPr>
        <w:pStyle w:val="BodyText"/>
        <w:spacing w:after="120" w:line="312" w:lineRule="auto"/>
      </w:pPr>
      <w:r>
        <w:rPr>
          <w:rFonts w:ascii="DejaVu Serif" w:hAnsi="DejaVu Serif" w:eastAsia="Noto Serif CJK SC"/>
          <w:color w:val="000000"/>
          <w:sz w:val="22"/>
        </w:rPr>
        <w:t xml:space="preserve">Article 4 【Determination of Voluntarily Joined Organization】</w:t>
      </w:r>
    </w:p>
    <w:p>
      <w:pPr>
        <w:pStyle w:val="BodyText"/>
        <w:spacing w:after="120" w:line="312" w:lineRule="auto"/>
      </w:pPr>
      <w:r>
        <w:rPr>
          <w:rFonts w:ascii="DejaVu Serif" w:hAnsi="DejaVu Serif" w:eastAsia="Noto Serif CJK SC"/>
          <w:color w:val="000000"/>
          <w:sz w:val="22"/>
        </w:rPr>
        <w:t xml:space="preserve">（一）For me to voluntarily join an organization, all of the following conditions must be satisfied simultaneously:</w:t>
      </w:r>
    </w:p>
    <w:p>
      <w:pPr>
        <w:numPr>
          <w:ilvl w:val="0"/>
          <w:numId w:val="1105"/>
        </w:numPr>
        <w:spacing w:after="120" w:line="312" w:lineRule="auto"/>
      </w:pPr>
      <w:r>
        <w:rPr>
          <w:rFonts w:ascii="DejaVu Serif" w:hAnsi="DejaVu Serif" w:eastAsia="Noto Serif CJK SC"/>
          <w:color w:val="000000"/>
          <w:sz w:val="22"/>
        </w:rPr>
        <w:t xml:space="preserve">I fully recognize the mission of the organization;</w:t>
      </w:r>
    </w:p>
    <w:p>
      <w:pPr>
        <w:numPr>
          <w:ilvl w:val="0"/>
          <w:numId w:val="1105"/>
        </w:numPr>
        <w:spacing w:after="120" w:line="312" w:lineRule="auto"/>
      </w:pPr>
      <w:r>
        <w:rPr>
          <w:rFonts w:ascii="DejaVu Serif" w:hAnsi="DejaVu Serif" w:eastAsia="Noto Serif CJK SC"/>
          <w:color w:val="000000"/>
          <w:sz w:val="22"/>
        </w:rPr>
        <w:t xml:space="preserve">I fully recognize the core members (core personnel) of the organization;</w:t>
      </w:r>
    </w:p>
    <w:p>
      <w:pPr>
        <w:numPr>
          <w:ilvl w:val="0"/>
          <w:numId w:val="1105"/>
        </w:numPr>
        <w:spacing w:after="120" w:line="312" w:lineRule="auto"/>
      </w:pPr>
      <w:r>
        <w:rPr>
          <w:rFonts w:ascii="DejaVu Serif" w:hAnsi="DejaVu Serif" w:eastAsia="Noto Serif CJK SC"/>
          <w:color w:val="000000"/>
          <w:sz w:val="22"/>
        </w:rPr>
        <w:t xml:space="preserve">I am joining based on specific, clear purposes.</w:t>
      </w:r>
    </w:p>
    <w:p>
      <w:pPr>
        <w:pStyle w:val="FirstParagraph"/>
        <w:spacing w:after="120" w:line="312" w:lineRule="auto"/>
      </w:pPr>
      <w:r>
        <w:rPr>
          <w:rFonts w:ascii="DejaVu Serif" w:hAnsi="DejaVu Serif" w:eastAsia="Noto Serif CJK SC"/>
          <w:color w:val="000000"/>
          <w:sz w:val="22"/>
        </w:rPr>
        <w:t xml:space="preserve">（二）</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Specific, clear purposes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refers to the concrete, articulable, and definable objectives that I aim to achieve by joining the organization; generalized or casual joining without specific purposes does not constitute the voluntary joining referred to in this Article.</w:t>
      </w:r>
    </w:p>
    <w:p>
      <w:pPr>
        <w:pStyle w:val="BodyText"/>
        <w:spacing w:after="120" w:line="312" w:lineRule="auto"/>
      </w:pPr>
      <w:r>
        <w:rPr>
          <w:rFonts w:ascii="DejaVu Serif" w:hAnsi="DejaVu Serif" w:eastAsia="Noto Serif CJK SC"/>
          <w:color w:val="000000"/>
          <w:sz w:val="22"/>
        </w:rPr>
        <w:t xml:space="preserve">Article 5 【Excluded Cases·Rigid Systems, etc.】</w:t>
      </w:r>
    </w:p>
    <w:p>
      <w:pPr>
        <w:pStyle w:val="BodyText"/>
        <w:spacing w:after="120" w:line="312" w:lineRule="auto"/>
      </w:pPr>
      <w:r>
        <w:rPr>
          <w:rFonts w:ascii="DejaVu Serif" w:hAnsi="DejaVu Serif" w:eastAsia="Noto Serif CJK SC"/>
          <w:color w:val="000000"/>
          <w:sz w:val="22"/>
        </w:rPr>
        <w:t xml:space="preserve">（一）Any organization that does not fall under the two categories specified in Article 2, I shall not participate in or accept under any circumstances.</w:t>
      </w:r>
    </w:p>
    <w:p>
      <w:pPr>
        <w:pStyle w:val="BodyText"/>
        <w:spacing w:after="120" w:line="312" w:lineRule="auto"/>
      </w:pPr>
      <w:r>
        <w:rPr>
          <w:rFonts w:ascii="DejaVu Serif" w:hAnsi="DejaVu Serif" w:eastAsia="Noto Serif CJK SC"/>
          <w:color w:val="000000"/>
          <w:sz w:val="22"/>
        </w:rPr>
        <w:t xml:space="preserve">（二）This particularly includes, but is not limited to, the following organizations or forms of participation:</w:t>
      </w:r>
    </w:p>
    <w:p>
      <w:pPr>
        <w:numPr>
          <w:ilvl w:val="0"/>
          <w:numId w:val="1106"/>
        </w:numPr>
        <w:spacing w:after="120" w:line="312" w:lineRule="auto"/>
      </w:pPr>
      <w:r>
        <w:rPr>
          <w:rFonts w:ascii="DejaVu Serif" w:hAnsi="DejaVu Serif" w:eastAsia="Noto Serif CJK SC"/>
          <w:color w:val="000000"/>
          <w:sz w:val="22"/>
        </w:rPr>
        <w:t xml:space="preserve">Hierarchical, command-obedience rigid systemic organizations such as state civil servants;</w:t>
      </w:r>
    </w:p>
    <w:p>
      <w:pPr>
        <w:numPr>
          <w:ilvl w:val="0"/>
          <w:numId w:val="1106"/>
        </w:numPr>
        <w:spacing w:after="120" w:line="312" w:lineRule="auto"/>
      </w:pPr>
      <w:r>
        <w:rPr>
          <w:rFonts w:ascii="DejaVu Serif" w:hAnsi="DejaVu Serif" w:eastAsia="Noto Serif CJK SC"/>
          <w:color w:val="000000"/>
          <w:sz w:val="22"/>
        </w:rPr>
        <w:t xml:space="preserve">Any organization whose mission or core members I cannot recognize;</w:t>
      </w:r>
    </w:p>
    <w:p>
      <w:pPr>
        <w:numPr>
          <w:ilvl w:val="0"/>
          <w:numId w:val="1106"/>
        </w:numPr>
        <w:spacing w:after="120" w:line="312" w:lineRule="auto"/>
      </w:pPr>
      <w:r>
        <w:rPr>
          <w:rFonts w:ascii="DejaVu Serif" w:hAnsi="DejaVu Serif" w:eastAsia="Noto Serif CJK SC"/>
          <w:color w:val="000000"/>
          <w:sz w:val="22"/>
        </w:rPr>
        <w:t xml:space="preserve">Any organization that I join involuntarily, under duress, or due to external pressure.</w:t>
      </w:r>
    </w:p>
    <w:p>
      <w:pPr>
        <w:pStyle w:val="FirstParagraph"/>
        <w:spacing w:after="120" w:line="312" w:lineRule="auto"/>
      </w:pPr>
      <w:r>
        <w:rPr>
          <w:rFonts w:ascii="DejaVu Serif" w:hAnsi="DejaVu Serif" w:eastAsia="Noto Serif CJK SC"/>
          <w:color w:val="000000"/>
          <w:sz w:val="22"/>
        </w:rPr>
        <w:t xml:space="preserve">（三）Regardless of what benefits, status, treatment, stability, or security such organizations may offer, they do not constitute grounds for my participation.</w:t>
      </w:r>
    </w:p>
    <w:p>
      <w:pPr>
        <w:pStyle w:val="BodyText"/>
        <w:spacing w:after="120" w:line="312" w:lineRule="auto"/>
      </w:pPr>
      <w:r>
        <w:rPr>
          <w:rFonts w:ascii="DejaVu Serif" w:hAnsi="DejaVu Serif" w:eastAsia="Noto Serif CJK SC"/>
          <w:color w:val="000000"/>
          <w:sz w:val="22"/>
        </w:rPr>
        <w:t xml:space="preserve">Article 6 【Relationship with Other Articles of the Main Charter】</w:t>
      </w:r>
    </w:p>
    <w:p>
      <w:pPr>
        <w:pStyle w:val="BodyText"/>
        <w:spacing w:after="120" w:line="312" w:lineRule="auto"/>
      </w:pPr>
      <w:r>
        <w:rPr>
          <w:rFonts w:ascii="DejaVu Serif" w:hAnsi="DejaVu Serif" w:eastAsia="Noto Serif CJK SC"/>
          <w:color w:val="000000"/>
          <w:sz w:val="22"/>
        </w:rPr>
        <w:t xml:space="preserve">（一）Article 95 of the Main Charter 【Principle of Non-participation in Political Parties】 and Article 96 【Principle of Non-political Stance】</w:t>
      </w:r>
    </w:p>
    <w:p>
      <w:pPr>
        <w:pStyle w:val="BodyText"/>
        <w:spacing w:after="120" w:line="312" w:lineRule="auto"/>
      </w:pPr>
      <w:r>
        <w:rPr>
          <w:rFonts w:ascii="DejaVu Serif" w:hAnsi="DejaVu Serif" w:eastAsia="Noto Serif CJK SC"/>
          <w:color w:val="000000"/>
          <w:sz w:val="22"/>
        </w:rPr>
        <w:t xml:space="preserve">are specific inferences and applications of the dual iron law established in these detailed rules in the realm of political organizations; political parties are neither self-established by me nor voluntarily joined by me based on specific purposes, thus falling within the scope of exclusion in Article 5 of these detailed rules.</w:t>
      </w:r>
    </w:p>
    <w:p>
      <w:pPr>
        <w:pStyle w:val="BodyText"/>
        <w:spacing w:after="120" w:line="312" w:lineRule="auto"/>
      </w:pPr>
      <w:r>
        <w:rPr>
          <w:rFonts w:ascii="DejaVu Serif" w:hAnsi="DejaVu Serif" w:eastAsia="Noto Serif CJK SC"/>
          <w:color w:val="000000"/>
          <w:sz w:val="22"/>
        </w:rPr>
        <w:t xml:space="preserve">（二）Article 94 of the Main Charter 【Principle of Non-participation in War】 is the application of these detailed rules in the realm of military organizations (armies); I shall not enlist, participate in any war, or join any military organization.</w:t>
      </w:r>
    </w:p>
    <w:p>
      <w:pPr>
        <w:pStyle w:val="BodyText"/>
        <w:spacing w:after="120" w:line="312" w:lineRule="auto"/>
      </w:pPr>
      <w:r>
        <w:rPr>
          <w:rFonts w:ascii="DejaVu Serif" w:hAnsi="DejaVu Serif" w:eastAsia="Noto Serif CJK SC"/>
          <w:color w:val="000000"/>
          <w:sz w:val="22"/>
        </w:rPr>
        <w:t xml:space="preserve">（三）The illegal organizations listed in Article 61 of the Main Charter 【Negative List for Activity Organization Themes】 are all excluded, and this takes precedence over the dual situations in Article 2 of these detailed rules—that is, my self-established organizations must also not violate Article 61.</w:t>
      </w:r>
    </w:p>
    <w:p>
      <w:pPr>
        <w:pStyle w:val="BodyText"/>
        <w:spacing w:after="120" w:line="312" w:lineRule="auto"/>
      </w:pPr>
      <w:r>
        <w:rPr>
          <w:rFonts w:ascii="DejaVu Serif" w:hAnsi="DejaVu Serif" w:eastAsia="Noto Serif CJK SC"/>
          <w:color w:val="000000"/>
          <w:sz w:val="22"/>
        </w:rPr>
        <w:t xml:space="preserve">Article 7 【Exceptions and Exemptions】</w:t>
      </w:r>
    </w:p>
    <w:p>
      <w:pPr>
        <w:pStyle w:val="BodyText"/>
        <w:spacing w:after="120" w:line="312" w:lineRule="auto"/>
      </w:pPr>
      <w:r>
        <w:rPr>
          <w:rFonts w:ascii="DejaVu Serif" w:hAnsi="DejaVu Serif" w:eastAsia="Noto Serif CJK SC"/>
          <w:color w:val="000000"/>
          <w:sz w:val="22"/>
        </w:rPr>
        <w:t xml:space="preserve">（一）The dual limitations in Article 2 of these detailed rules shall not be exempted due to any benefits, status, or treatment.</w:t>
      </w:r>
    </w:p>
    <w:p>
      <w:pPr>
        <w:pStyle w:val="BodyText"/>
        <w:spacing w:after="120" w:line="312" w:lineRule="auto"/>
      </w:pPr>
      <w:r>
        <w:rPr>
          <w:rFonts w:ascii="DejaVu Serif" w:hAnsi="DejaVu Serif" w:eastAsia="Noto Serif CJK SC"/>
          <w:color w:val="000000"/>
          <w:sz w:val="22"/>
        </w:rPr>
        <w:t xml:space="preserve">（二）Only when there is a clear mandatory provision in the current effective laws or administrative regulations of the People’s Republic of China, and no alternative method exists that complies with my dual iron law, may I participate temporarily and restrictively in accordance with the explicit provisions of the law, and shall exit within a specified period after providing a written explanation of the reasons, thereby restoring the application of the dual iron law.</w:t>
      </w:r>
    </w:p>
    <w:p>
      <w:pPr>
        <w:pStyle w:val="BodyText"/>
        <w:spacing w:after="120" w:line="312" w:lineRule="auto"/>
      </w:pPr>
      <w:r>
        <w:rPr>
          <w:rFonts w:ascii="DejaVu Serif" w:hAnsi="DejaVu Serif" w:eastAsia="Noto Serif CJK SC"/>
          <w:color w:val="000000"/>
          <w:sz w:val="22"/>
        </w:rPr>
        <w:t xml:space="preserve">Article 8 【Validity and Interpretation】</w:t>
      </w:r>
    </w:p>
    <w:p>
      <w:pPr>
        <w:pStyle w:val="BodyText"/>
        <w:spacing w:after="120" w:line="312" w:lineRule="auto"/>
      </w:pPr>
      <w:r>
        <w:rPr>
          <w:rFonts w:ascii="DejaVu Serif" w:hAnsi="DejaVu Serif" w:eastAsia="Noto Serif CJK SC"/>
          <w:color w:val="000000"/>
          <w:sz w:val="22"/>
        </w:rPr>
        <w:t xml:space="preserve">（一）These detailed rules are an integral part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Charter of Life Action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have the same binding force as the Main Charter and other Annexes.</w:t>
      </w:r>
    </w:p>
    <w:p>
      <w:pPr>
        <w:pStyle w:val="BodyText"/>
        <w:spacing w:after="120" w:line="312" w:lineRule="auto"/>
      </w:pPr>
      <w:r>
        <w:rPr>
          <w:rFonts w:ascii="DejaVu Serif" w:hAnsi="DejaVu Serif" w:eastAsia="Noto Serif CJK SC"/>
          <w:color w:val="000000"/>
          <w:sz w:val="22"/>
        </w:rPr>
        <w:t xml:space="preserve">（二）When there is a conflict between these detailed rules and other documents within the system, it shall be handled according to the principles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new rules prevail over old rules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specific rules prevail over general rules.</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（三）The ultimate right to interpret these detailed rules belongs to the Charter-Maker.</w:t>
      </w:r>
    </w:p>
    <w:p>
      <w:pPr>
        <w:pStyle w:val="BodyText"/>
        <w:spacing w:after="120" w:line="312" w:lineRule="auto"/>
      </w:pPr>
      <w:r>
        <w:rPr>
          <w:rFonts w:ascii="DejaVu Serif" w:hAnsi="DejaVu Serif" w:eastAsia="Noto Serif CJK SC"/>
          <w:color w:val="000000"/>
          <w:sz w:val="22"/>
        </w:rPr>
        <w:t xml:space="preserve">Article 9 【Effective Date】</w:t>
      </w:r>
    </w:p>
    <w:p>
      <w:pPr>
        <w:pStyle w:val="BodyText"/>
        <w:spacing w:after="120" w:line="312" w:lineRule="auto"/>
      </w:pPr>
      <w:r>
        <w:rPr>
          <w:rFonts w:ascii="DejaVu Serif" w:hAnsi="DejaVu Serif" w:eastAsia="Noto Serif CJK SC"/>
          <w:color w:val="000000"/>
          <w:sz w:val="22"/>
        </w:rPr>
        <w:t xml:space="preserve">These detailed rules shall take effect from the date of signing by the Charter-Maker.</w:t>
      </w:r>
    </w:p>
    <w:p>
      <w:pPr>
        <w:pStyle w:val="BodyText"/>
        <w:spacing w:after="120" w:line="312" w:lineRule="auto"/>
      </w:pPr>
      <w:r>
        <w:rPr>
          <w:rFonts w:ascii="DejaVu Serif" w:hAnsi="DejaVu Serif" w:eastAsia="Noto Serif CJK SC"/>
          <w:color w:val="000000"/>
          <w:sz w:val="22"/>
        </w:rPr>
        <w:t xml:space="preserve">Charter-Maker: Sun Yujun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Effective Date: August 22, 2026</w:t>
      </w:r>
    </w:p>
    <w:p>
      <w:pPr>
        <w:spacing w:after="120" w:line="312" w:lineRule="auto"/>
      </w:pPr>
      <w:r>
        <w:rPr>
          <w:rFonts w:ascii="DejaVu Serif" w:hAnsi="DejaVu Serif" w:eastAsia="Noto Serif CJK SC"/>
          <w:color w:val="000000"/>
          <w:sz w:val="22"/>
        </w:rPr>
        <w:pict>
          <v:rect style="width:0;height:1.5pt" o:hralign="center" o:hrstd="t" o:hr="t"/>
        </w:pict>
      </w:r>
    </w:p>
    <w:bookmarkEnd w:id="256"/>
    <w:bookmarkEnd w:id="257"/>
    <w:bookmarkStart w:id="259" w:name="series-b-family-wealth-and-governance"/>
    <w:p>
      <w:pPr>
        <w:pStyle w:val="Heading2"/>
        <w:spacing w:after="160" w:line="312" w:lineRule="auto"/>
        <w:jc w:val="left"/>
      </w:pPr>
      <w:r>
        <w:rPr>
          <w:rFonts w:ascii="DejaVu Serif" w:hAnsi="DejaVu Serif" w:eastAsia="Noto Serif CJK SC"/>
          <w:color w:val="000000"/>
          <w:sz w:val="30"/>
        </w:rPr>
        <w:t xml:space="preserve">Series B · Family Wealth and Governance</w:t>
      </w:r>
    </w:p>
    <w:bookmarkStart w:id="258" w:name="Xbf754c9a566148e02836f1f79b33e8428832d44"/>
    <w:p>
      <w:pPr>
        <w:pStyle w:val="Heading3"/>
        <w:spacing w:after="120" w:line="312" w:lineRule="auto"/>
        <w:jc w:val="left"/>
      </w:pPr>
      <w:r>
        <w:rPr>
          <w:rFonts w:ascii="DejaVu Serif" w:hAnsi="DejaVu Serif" w:eastAsia="Noto Serif CJK SC"/>
          <w:color w:val="000000"/>
          <w:sz w:val="26"/>
        </w:rPr>
        <w:t xml:space="preserve">Annex B.01.001 Verbatim Full Text of the</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Exemption List for the Principle of</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No Unnecessary Assistance</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w:t>
      </w:r>
    </w:p>
    <w:p>
      <w:pPr>
        <w:pStyle w:val="FirstParagraph"/>
        <w:spacing w:after="120" w:line="312" w:lineRule="auto"/>
      </w:pPr>
      <w:r>
        <w:rPr>
          <w:rFonts w:ascii="DejaVu Serif" w:hAnsi="DejaVu Serif" w:eastAsia="Noto Serif CJK SC"/>
          <w:color w:val="000000"/>
          <w:sz w:val="22"/>
        </w:rPr>
        <w:t xml:space="preserve">【Verbatim Full Text】</w:t>
      </w:r>
    </w:p>
    <w:p>
      <w:pPr>
        <w:pStyle w:val="BodyText"/>
        <w:spacing w:after="120" w:line="312" w:lineRule="auto"/>
      </w:pPr>
      <w:r>
        <w:rPr>
          <w:rFonts w:ascii="DejaVu Serif" w:hAnsi="DejaVu Serif" w:eastAsia="Noto Serif CJK SC"/>
          <w:color w:val="000000"/>
          <w:sz w:val="22"/>
        </w:rPr>
        <w:t xml:space="preserve">Annex B.01.001:</w:t>
      </w:r>
    </w:p>
    <w:p>
      <w:pPr>
        <w:pStyle w:val="BodyText"/>
        <w:spacing w:after="120" w:line="312" w:lineRule="auto"/>
      </w:pPr>
      <w:r>
        <w:rPr>
          <w:rFonts w:ascii="DejaVu Serif" w:hAnsi="DejaVu Serif" w:eastAsia="Noto Serif CJK SC"/>
          <w:color w:val="000000"/>
          <w:sz w:val="22"/>
        </w:rPr>
        <w:t xml:space="preserve">Exemption List for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No Unnecessary Assistance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Principle of the Charter of Life Action</w:t>
      </w:r>
    </w:p>
    <w:p>
      <w:pPr>
        <w:pStyle w:val="BodyText"/>
        <w:spacing w:after="120" w:line="312" w:lineRule="auto"/>
      </w:pPr>
      <w:r>
        <w:rPr>
          <w:rFonts w:ascii="DejaVu Serif" w:hAnsi="DejaVu Serif" w:eastAsia="Noto Serif CJK SC"/>
          <w:color w:val="000000"/>
          <w:sz w:val="22"/>
        </w:rPr>
        <w:t xml:space="preserve">Article 1 The purpose of establishing this Exemption List is to implement Article 84 of this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Charter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Principle of Providing Invited Services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its related provisions, while also considering humanitarianism, social responsibility, and long-term cooperative relationships. This Exemption List is hereby established. When an individual or organization on this list meets any of the following conditions, the restriction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no assistance without invitation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may not apply, and I may provide necessary assistance proactively or without a clear request:</w:t>
      </w:r>
    </w:p>
    <w:p>
      <w:pPr>
        <w:pStyle w:val="BodyText"/>
        <w:spacing w:after="120" w:line="312" w:lineRule="auto"/>
      </w:pPr>
      <w:r>
        <w:rPr>
          <w:rFonts w:ascii="DejaVu Serif" w:hAnsi="DejaVu Serif" w:eastAsia="Noto Serif CJK SC"/>
          <w:color w:val="000000"/>
          <w:sz w:val="22"/>
        </w:rPr>
        <w:t xml:space="preserve">（一）They have provided critical support to my life ideals, career development, asset creation, or personal safety;</w:t>
      </w:r>
    </w:p>
    <w:p>
      <w:pPr>
        <w:pStyle w:val="BodyText"/>
        <w:spacing w:after="120" w:line="312" w:lineRule="auto"/>
      </w:pPr>
      <w:r>
        <w:rPr>
          <w:rFonts w:ascii="DejaVu Serif" w:hAnsi="DejaVu Serif" w:eastAsia="Noto Serif CJK SC"/>
          <w:color w:val="000000"/>
          <w:sz w:val="22"/>
        </w:rPr>
        <w:t xml:space="preserve">（二）They have a long-term, stable, and mutually trusting business or strategic cooperative relationship with me;</w:t>
      </w:r>
    </w:p>
    <w:p>
      <w:pPr>
        <w:pStyle w:val="BodyText"/>
        <w:spacing w:after="120" w:line="312" w:lineRule="auto"/>
      </w:pPr>
      <w:r>
        <w:rPr>
          <w:rFonts w:ascii="DejaVu Serif" w:hAnsi="DejaVu Serif" w:eastAsia="Noto Serif CJK SC"/>
          <w:color w:val="000000"/>
          <w:sz w:val="22"/>
        </w:rPr>
        <w:t xml:space="preserve">（三）They belong to specific groups that must be assisted by law, ethics, or humanitarian principles (such as minors, patients, vulnerable individuals in emergency situations);</w:t>
      </w:r>
    </w:p>
    <w:p>
      <w:pPr>
        <w:pStyle w:val="BodyText"/>
        <w:spacing w:after="120" w:line="312" w:lineRule="auto"/>
      </w:pPr>
      <w:r>
        <w:rPr>
          <w:rFonts w:ascii="DejaVu Serif" w:hAnsi="DejaVu Serif" w:eastAsia="Noto Serif CJK SC"/>
          <w:color w:val="000000"/>
          <w:sz w:val="22"/>
        </w:rPr>
        <w:t xml:space="preserve">（四）They are individuals with whom I have familial or dependent relationships (such as parents, children, spouses, etc.);</w:t>
      </w:r>
    </w:p>
    <w:p>
      <w:pPr>
        <w:pStyle w:val="BodyText"/>
        <w:spacing w:after="120" w:line="312" w:lineRule="auto"/>
      </w:pPr>
      <w:r>
        <w:rPr>
          <w:rFonts w:ascii="DejaVu Serif" w:hAnsi="DejaVu Serif" w:eastAsia="Noto Serif CJK SC"/>
          <w:color w:val="000000"/>
          <w:sz w:val="22"/>
        </w:rPr>
        <w:t xml:space="preserve">（五）Other circumstances that I, after careful assessment, deem to truly warrant exemption.</w:t>
      </w:r>
    </w:p>
    <w:p>
      <w:pPr>
        <w:pStyle w:val="BodyText"/>
        <w:spacing w:after="120" w:line="312" w:lineRule="auto"/>
      </w:pPr>
      <w:r>
        <w:rPr>
          <w:rFonts w:ascii="DejaVu Serif" w:hAnsi="DejaVu Serif" w:eastAsia="Noto Serif CJK SC"/>
          <w:color w:val="000000"/>
          <w:sz w:val="22"/>
        </w:rPr>
        <w:t xml:space="preserve">Article 2 Principles of List Management</w:t>
      </w:r>
    </w:p>
    <w:p>
      <w:pPr>
        <w:pStyle w:val="BodyText"/>
        <w:spacing w:after="120" w:line="312" w:lineRule="auto"/>
      </w:pPr>
      <w:r>
        <w:rPr>
          <w:rFonts w:ascii="DejaVu Serif" w:hAnsi="DejaVu Serif" w:eastAsia="Noto Serif CJK SC"/>
          <w:color w:val="000000"/>
          <w:sz w:val="22"/>
        </w:rPr>
        <w:t xml:space="preserve">（一）This list is dynamically maintained by me and reviewed periodically (at least once every six months);</w:t>
      </w:r>
    </w:p>
    <w:p>
      <w:pPr>
        <w:pStyle w:val="BodyText"/>
        <w:spacing w:after="120" w:line="312" w:lineRule="auto"/>
      </w:pPr>
      <w:r>
        <w:rPr>
          <w:rFonts w:ascii="DejaVu Serif" w:hAnsi="DejaVu Serif" w:eastAsia="Noto Serif CJK SC"/>
          <w:color w:val="000000"/>
          <w:sz w:val="22"/>
        </w:rPr>
        <w:t xml:space="preserve">（二）The inclusion or removal of any person or organization from this list requires my confirmation in writing or by electronic record;</w:t>
      </w:r>
    </w:p>
    <w:p>
      <w:pPr>
        <w:pStyle w:val="Compact"/>
        <w:numPr>
          <w:ilvl w:val="0"/>
          <w:numId w:val="1107"/>
        </w:numPr>
        <w:spacing w:after="120" w:line="312" w:lineRule="auto"/>
      </w:pPr>
      <w:r>
        <w:rPr>
          <w:rFonts w:ascii="DejaVu Serif" w:hAnsi="DejaVu Serif" w:eastAsia="Noto Serif CJK SC"/>
          <w:color w:val="000000"/>
          <w:sz w:val="22"/>
        </w:rPr>
        <w:t xml:space="preserve">This list does not constitute an absolute legal commitment nor does it create unlimited liability, nor does it supersede formal contracts or powers of attorney.</w:t>
      </w:r>
    </w:p>
    <w:tbl>
      <w:tblPr>
        <w:tblStyle w:val="Table"/>
        <w:tblW w:type="pct" w:w="5000"/>
        <w:jc w:val="left"/>
        <w:tblLayout w:type="fixed"/>
        <w:tblLook w:firstRow="1" w:lastRow="0" w:firstColumn="0" w:lastColumn="0" w:noHBand="0" w:noVBand="0" w:val="002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1131"/>
        <w:gridCol w:w="1131"/>
        <w:gridCol w:w="1131"/>
        <w:gridCol w:w="1131"/>
        <w:gridCol w:w="1131"/>
        <w:gridCol w:w="1131"/>
        <w:gridCol w:w="1131"/>
      </w:tblGrid>
      <w:tr>
        <w:trPr>
          <w:tblHeader w:val="on"/>
        </w:trPr>
        <w:tc>
          <w:tcPr/>
          <w:p>
            <w:pPr>
              <w:pStyle w:val="Compact"/>
              <w:spacing w:after="40" w:line="288" w:lineRule="auto"/>
              <w:jc w:val="left"/>
            </w:pPr>
            <w:r>
              <w:rPr>
                <w:rFonts w:ascii="DejaVu Serif" w:hAnsi="DejaVu Serif" w:eastAsia="Noto Sans CJK SC"/>
                <w:color w:val="000000"/>
                <w:sz w:val="19"/>
              </w:rPr>
              <w:t xml:space="preserve">Exemption List Table Serial Number</w:t>
            </w:r>
          </w:p>
        </w:tc>
        <w:tc>
          <w:tcPr/>
          <w:p>
            <w:pPr>
              <w:pStyle w:val="Compact"/>
              <w:spacing w:after="40" w:line="288" w:lineRule="auto"/>
              <w:jc w:val="left"/>
            </w:pPr>
            <w:r>
              <w:rPr>
                <w:rFonts w:ascii="DejaVu Serif" w:hAnsi="DejaVu Serif" w:eastAsia="Noto Sans CJK SC"/>
                <w:color w:val="000000"/>
                <w:sz w:val="19"/>
              </w:rPr>
              <w:t xml:space="preserve">Name/Organization</w:t>
            </w:r>
          </w:p>
        </w:tc>
        <w:tc>
          <w:tcPr/>
          <w:p>
            <w:pPr>
              <w:pStyle w:val="Compact"/>
              <w:spacing w:after="40" w:line="288" w:lineRule="auto"/>
              <w:jc w:val="left"/>
            </w:pPr>
            <w:r>
              <w:rPr>
                <w:rFonts w:ascii="DejaVu Serif" w:hAnsi="DejaVu Serif" w:eastAsia="Noto Sans CJK SC"/>
                <w:color w:val="000000"/>
                <w:sz w:val="19"/>
              </w:rPr>
              <w:t xml:space="preserve">Certificate Number</w:t>
            </w:r>
          </w:p>
        </w:tc>
        <w:tc>
          <w:tcPr/>
          <w:p>
            <w:pPr>
              <w:pStyle w:val="Compact"/>
              <w:spacing w:after="40" w:line="288" w:lineRule="auto"/>
              <w:jc w:val="left"/>
            </w:pPr>
            <w:r>
              <w:rPr>
                <w:rFonts w:ascii="DejaVu Serif" w:hAnsi="DejaVu Serif" w:eastAsia="Noto Sans CJK SC"/>
                <w:color w:val="000000"/>
                <w:sz w:val="19"/>
              </w:rPr>
              <w:t xml:space="preserve">Relationship to Self</w:t>
            </w:r>
          </w:p>
        </w:tc>
        <w:tc>
          <w:tcPr/>
          <w:p>
            <w:pPr>
              <w:pStyle w:val="Compact"/>
              <w:spacing w:after="40" w:line="288" w:lineRule="auto"/>
              <w:jc w:val="left"/>
            </w:pPr>
            <w:r>
              <w:rPr>
                <w:rFonts w:ascii="DejaVu Serif" w:hAnsi="DejaVu Serif" w:eastAsia="Noto Sans CJK SC"/>
                <w:color w:val="000000"/>
                <w:sz w:val="19"/>
              </w:rPr>
              <w:t xml:space="preserve">Exemption Type</w:t>
            </w:r>
          </w:p>
        </w:tc>
        <w:tc>
          <w:tcPr/>
          <w:p>
            <w:pPr>
              <w:pStyle w:val="Compact"/>
              <w:spacing w:after="40" w:line="288" w:lineRule="auto"/>
              <w:jc w:val="left"/>
            </w:pPr>
            <w:r>
              <w:rPr>
                <w:rFonts w:ascii="DejaVu Serif" w:hAnsi="DejaVu Serif" w:eastAsia="Noto Sans CJK SC"/>
                <w:color w:val="000000"/>
                <w:sz w:val="19"/>
              </w:rPr>
              <w:t xml:space="preserve">Exemption Period</w:t>
            </w:r>
          </w:p>
        </w:tc>
        <w:tc>
          <w:tcPr/>
          <w:p>
            <w:pPr>
              <w:pStyle w:val="Compact"/>
              <w:spacing w:after="40" w:line="288" w:lineRule="auto"/>
              <w:jc w:val="left"/>
            </w:pPr>
            <w:r>
              <w:rPr>
                <w:rFonts w:ascii="DejaVu Serif" w:hAnsi="DejaVu Serif" w:eastAsia="Noto Sans CJK SC"/>
                <w:color w:val="000000"/>
                <w:sz w:val="19"/>
              </w:rPr>
              <w:t xml:space="preserve">Remarks</w:t>
            </w:r>
          </w:p>
        </w:tc>
      </w:tr>
      <w:tr>
        <w:tc>
          <w:tcPr/>
          <w:p>
            <w:pPr>
              <w:pStyle w:val="Compact"/>
              <w:spacing w:after="40" w:line="288" w:lineRule="auto"/>
              <w:jc w:val="left"/>
            </w:pPr>
            <w:r>
              <w:rPr>
                <w:rFonts w:ascii="DejaVu Serif" w:hAnsi="DejaVu Serif" w:eastAsia="Noto Sans CJK SC"/>
                <w:color w:val="000000"/>
                <w:sz w:val="19"/>
              </w:rPr>
              <w:t xml:space="preserve">1</w:t>
            </w:r>
          </w:p>
        </w:tc>
        <w:tc>
          <w:tcPr/>
          <w:p>
            <w:pPr>
              <w:pStyle w:val="Compact"/>
              <w:spacing w:after="40" w:line="288" w:lineRule="auto"/>
              <w:jc w:val="left"/>
            </w:pPr>
            <w:r>
              <w:rPr>
                <w:rFonts w:ascii="DejaVu Serif" w:hAnsi="DejaVu Serif" w:eastAsia="Noto Sans CJK SC"/>
                <w:color w:val="000000"/>
                <w:sz w:val="19"/>
              </w:rPr>
              <w:t xml:space="preserve">＊＊依</w:t>
            </w:r>
          </w:p>
        </w:tc>
        <w:tc>
          <w:tcPr/>
          <w:p>
            <w:pPr>
              <w:pStyle w:val="Compact"/>
              <w:spacing w:after="40" w:line="288" w:lineRule="auto"/>
              <w:jc w:val="left"/>
            </w:pPr>
            <w:r>
              <w:rPr>
                <w:rFonts w:ascii="DejaVu Serif" w:hAnsi="DejaVu Serif" w:eastAsia="Noto Sans CJK SC"/>
                <w:color w:val="000000"/>
                <w:sz w:val="19"/>
              </w:rPr>
              <w:t xml:space="preserve">36012319*****1723</w:t>
            </w:r>
          </w:p>
        </w:tc>
        <w:tc>
          <w:tcPr/>
          <w:p>
            <w:pPr>
              <w:pStyle w:val="Compact"/>
              <w:spacing w:after="40" w:line="288" w:lineRule="auto"/>
              <w:jc w:val="left"/>
            </w:pPr>
            <w:r>
              <w:rPr>
                <w:rFonts w:ascii="DejaVu Serif" w:hAnsi="DejaVu Serif" w:eastAsia="Noto Sans CJK SC"/>
                <w:color w:val="000000"/>
                <w:sz w:val="19"/>
              </w:rPr>
              <w:t xml:space="preserve">First love</w:t>
            </w:r>
          </w:p>
        </w:tc>
        <w:tc>
          <w:tcPr/>
          <w:p>
            <w:pPr>
              <w:pStyle w:val="Compact"/>
              <w:spacing w:after="40" w:line="288" w:lineRule="auto"/>
              <w:jc w:val="left"/>
            </w:pPr>
            <w:r>
              <w:rPr>
                <w:rFonts w:ascii="DejaVu Serif" w:hAnsi="DejaVu Serif" w:eastAsia="Noto Sans CJK SC"/>
                <w:color w:val="000000"/>
                <w:sz w:val="19"/>
              </w:rPr>
              <w:t xml:space="preserve">Ultimate</w:t>
            </w:r>
          </w:p>
        </w:tc>
        <w:tc>
          <w:tcPr/>
          <w:p>
            <w:pPr>
              <w:pStyle w:val="Compact"/>
              <w:spacing w:after="40" w:line="288" w:lineRule="auto"/>
              <w:jc w:val="left"/>
            </w:pPr>
            <w:r>
              <w:rPr>
                <w:rFonts w:ascii="DejaVu Serif" w:hAnsi="DejaVu Serif" w:eastAsia="Noto Sans CJK SC"/>
                <w:color w:val="000000"/>
                <w:sz w:val="19"/>
              </w:rPr>
              <w:t xml:space="preserve">Lifetime validity</w:t>
            </w:r>
          </w:p>
        </w:tc>
        <w:tc>
          <w:tcPr/>
          <w:p>
            <w:pPr>
              <w:pStyle w:val="Compact"/>
              <w:spacing w:after="40" w:line="288" w:lineRule="auto"/>
              <w:jc w:val="left"/>
            </w:pPr>
            <w:r>
              <w:rPr>
                <w:rFonts w:ascii="DejaVu Serif" w:hAnsi="DejaVu Serif" w:eastAsia="Noto Sans CJK SC"/>
                <w:color w:val="000000"/>
                <w:sz w:val="19"/>
              </w:rPr>
              <w:t xml:space="preserve">Already verified not to be my identity, the spiritual source of my power</w:t>
            </w:r>
          </w:p>
        </w:tc>
      </w:tr>
      <w:tr>
        <w:tc>
          <w:tcPr/>
          <w:p>
            <w:pPr>
              <w:pStyle w:val="Compact"/>
              <w:spacing w:after="40" w:line="288" w:lineRule="auto"/>
              <w:jc w:val="left"/>
            </w:pPr>
            <w:r>
              <w:rPr>
                <w:rFonts w:ascii="DejaVu Serif" w:hAnsi="DejaVu Serif" w:eastAsia="Noto Sans CJK SC"/>
                <w:color w:val="000000"/>
                <w:sz w:val="19"/>
              </w:rPr>
              <w:t xml:space="preserve">2</w:t>
            </w:r>
          </w:p>
        </w:tc>
        <w:tc>
          <w:tcPr/>
          <w:p>
            <w:pPr>
              <w:pStyle w:val="Compact"/>
              <w:spacing w:after="40" w:line="288" w:lineRule="auto"/>
              <w:jc w:val="left"/>
            </w:pPr>
            <w:r>
              <w:rPr>
                <w:rFonts w:ascii="DejaVu Serif" w:hAnsi="DejaVu Serif" w:eastAsia="Noto Sans CJK SC"/>
                <w:color w:val="000000"/>
                <w:sz w:val="19"/>
              </w:rPr>
              <w:t xml:space="preserve">**丽</w:t>
            </w:r>
          </w:p>
        </w:tc>
        <w:tc>
          <w:tcPr/>
          <w:p>
            <w:pPr>
              <w:pStyle w:val="Compact"/>
              <w:spacing w:after="40" w:line="288" w:lineRule="auto"/>
              <w:jc w:val="left"/>
            </w:pPr>
            <w:r>
              <w:rPr>
                <w:rFonts w:ascii="DejaVu Serif" w:hAnsi="DejaVu Serif" w:eastAsia="Noto Sans CJK SC"/>
                <w:color w:val="000000"/>
                <w:sz w:val="19"/>
              </w:rPr>
              <w:t xml:space="preserve">440</w:t>
            </w:r>
            <w:r>
              <w:rPr>
                <w:rFonts w:ascii="DejaVu Serif" w:hAnsi="DejaVu Serif" w:eastAsia="Noto Sans CJK SC"/>
                <w:b/>
                <w:bCs/>
                <w:i/>
                <w:iCs/>
                <w:color w:val="000000"/>
                <w:sz w:val="19"/>
              </w:rPr>
              <w:t xml:space="preserve">2003</w:t>
            </w:r>
            <w:r>
              <w:rPr>
                <w:rFonts w:ascii="DejaVu Serif" w:hAnsi="DejaVu Serif" w:eastAsia="Noto Sans CJK SC"/>
                <w:i/>
                <w:iCs/>
                <w:color w:val="000000"/>
                <w:sz w:val="19"/>
              </w:rPr>
              <w:t xml:space="preserve">03</w:t>
            </w:r>
            <w:r>
              <w:rPr>
                <w:rFonts w:ascii="DejaVu Serif" w:hAnsi="DejaVu Serif" w:eastAsia="Noto Sans CJK SC"/>
                <w:color w:val="000000"/>
                <w:sz w:val="19"/>
              </w:rPr>
              <w:t xml:space="preserve">***</w:t>
            </w:r>
          </w:p>
        </w:tc>
        <w:tc>
          <w:tcPr/>
          <w:p>
            <w:pPr>
              <w:pStyle w:val="Compact"/>
              <w:spacing w:after="40" w:line="288" w:lineRule="auto"/>
              <w:jc w:val="left"/>
            </w:pPr>
            <w:r>
              <w:rPr>
                <w:rFonts w:ascii="DejaVu Serif" w:hAnsi="DejaVu Serif" w:eastAsia="Noto Sans CJK SC"/>
                <w:color w:val="000000"/>
                <w:sz w:val="19"/>
              </w:rPr>
              <w:t xml:space="preserve">Quasi-founder partner</w:t>
            </w:r>
          </w:p>
        </w:tc>
        <w:tc>
          <w:tcPr/>
          <w:p>
            <w:pPr>
              <w:pStyle w:val="Compact"/>
              <w:spacing w:after="40" w:line="288" w:lineRule="auto"/>
              <w:jc w:val="left"/>
            </w:pPr>
            <w:r>
              <w:rPr>
                <w:rFonts w:ascii="DejaVu Serif" w:hAnsi="DejaVu Serif" w:eastAsia="Noto Sans CJK SC"/>
                <w:color w:val="000000"/>
                <w:sz w:val="19"/>
              </w:rPr>
              <w:t xml:space="preserve">Founder</w:t>
            </w:r>
          </w:p>
        </w:tc>
        <w:tc>
          <w:tcPr/>
          <w:p>
            <w:pPr>
              <w:pStyle w:val="Compact"/>
              <w:spacing w:after="40" w:line="288" w:lineRule="auto"/>
              <w:jc w:val="left"/>
            </w:pPr>
            <w:r>
              <w:rPr>
                <w:rFonts w:ascii="DejaVu Serif" w:hAnsi="DejaVu Serif" w:eastAsia="Noto Sans CJK SC"/>
                <w:color w:val="000000"/>
                <w:sz w:val="19"/>
              </w:rPr>
              <w:t xml:space="preserve">Lifetime validity</w:t>
            </w:r>
          </w:p>
        </w:tc>
        <w:tc>
          <w:tcPr/>
          <w:p>
            <w:pPr>
              <w:pStyle w:val="Compact"/>
              <w:spacing w:after="40" w:line="288" w:lineRule="auto"/>
              <w:jc w:val="left"/>
            </w:pPr>
            <w:r>
              <w:rPr>
                <w:rFonts w:ascii="DejaVu Serif" w:hAnsi="DejaVu Serif" w:eastAsia="Noto Sans CJK SC"/>
                <w:color w:val="000000"/>
                <w:sz w:val="19"/>
              </w:rPr>
              <w:t xml:space="preserve">Beneficiary, my closest female friend who I can talk to about anything, voluntarily accepted, no反感 to my identity</w:t>
            </w:r>
          </w:p>
        </w:tc>
      </w:tr>
    </w:tbl>
    <w:p>
      <w:pPr>
        <w:pStyle w:val="BodyText"/>
        <w:spacing w:after="120" w:line="312" w:lineRule="auto"/>
      </w:pPr>
      <w:r>
        <w:rPr>
          <w:rFonts w:ascii="DejaVu Serif" w:hAnsi="DejaVu Serif" w:eastAsia="Noto Serif CJK SC"/>
          <w:color w:val="000000"/>
          <w:sz w:val="22"/>
        </w:rPr>
        <w:t xml:space="preserve">Under the circumstances where a friend, a god, and a supporter help, and matters concerning them and their motivating person are well-intentioned, and with the motivation to strive and fight before the opportunity, the following is proposed:</w:t>
      </w:r>
    </w:p>
    <w:p>
      <w:pPr>
        <w:pStyle w:val="BodyText"/>
        <w:spacing w:after="120" w:line="312" w:lineRule="auto"/>
      </w:pPr>
      <w:r>
        <w:rPr>
          <w:rFonts w:ascii="DejaVu Serif" w:hAnsi="DejaVu Serif" w:eastAsia="Noto Serif CJK SC"/>
          <w:color w:val="000000"/>
          <w:sz w:val="22"/>
        </w:rPr>
        <w:t xml:space="preserve">To provide maximum assistance within the scope of human capability, long-term effective, and with priority given to emergency matters concerning university colleagues and fellow participants.</w:t>
      </w:r>
    </w:p>
    <w:p>
      <w:pPr>
        <w:pStyle w:val="BodyText"/>
        <w:spacing w:after="120" w:line="312" w:lineRule="auto"/>
      </w:pPr>
      <w:r>
        <w:rPr>
          <w:rFonts w:ascii="DejaVu Serif" w:hAnsi="DejaVu Serif" w:eastAsia="Noto Serif CJK SC"/>
          <w:color w:val="000000"/>
          <w:sz w:val="22"/>
        </w:rPr>
        <w:t xml:space="preserve">Certificate of simultaneous key applicability for the second business, preparation studies, and other multi-faceted support</w:t>
      </w:r>
    </w:p>
    <w:p>
      <w:pPr>
        <w:pStyle w:val="BodyText"/>
        <w:spacing w:after="120" w:line="312" w:lineRule="auto"/>
      </w:pPr>
      <w:r>
        <w:rPr>
          <w:rFonts w:ascii="DejaVu Serif" w:hAnsi="DejaVu Serif" w:eastAsia="Noto Serif CJK SC"/>
          <w:color w:val="000000"/>
          <w:sz w:val="22"/>
        </w:rPr>
        <w:t xml:space="preserve">Article 3 Effectiveness of Annex This Annex is an integral part of the Charter of Life Action and shall have the same effect as the Charter. Matters not covered herein shall be interpreted and implemented in accordance with the principles of the Charter.</w:t>
      </w:r>
    </w:p>
    <w:p>
      <w:pPr>
        <w:spacing w:after="120" w:line="312" w:lineRule="auto"/>
      </w:pPr>
      <w:r>
        <w:rPr>
          <w:rFonts w:ascii="DejaVu Serif" w:hAnsi="DejaVu Serif" w:eastAsia="Noto Serif CJK SC"/>
          <w:color w:val="000000"/>
          <w:sz w:val="22"/>
        </w:rPr>
        <w:pict>
          <v:rect style="width:0;height:1.5pt" o:hralign="center" o:hrstd="t" o:hr="t"/>
        </w:pict>
      </w:r>
    </w:p>
    <w:bookmarkEnd w:id="258"/>
    <w:bookmarkEnd w:id="259"/>
    <w:bookmarkStart w:id="261" w:name="X451f00b6aa327c7a7c6852d2cf3c13d3346f4ed"/>
    <w:p>
      <w:pPr>
        <w:pStyle w:val="Heading2"/>
        <w:spacing w:after="160" w:line="312" w:lineRule="auto"/>
        <w:jc w:val="left"/>
      </w:pPr>
      <w:r>
        <w:rPr>
          <w:rFonts w:ascii="DejaVu Serif" w:hAnsi="DejaVu Serif" w:eastAsia="Noto Serif CJK SC"/>
          <w:color w:val="000000"/>
          <w:sz w:val="30"/>
        </w:rPr>
        <w:t xml:space="preserve">C-Series · Marriage and Family Organization</w:t>
      </w:r>
    </w:p>
    <w:bookmarkStart w:id="260" w:name="X66ef4393ff1d2d7edc654350b29143b6bfafadd"/>
    <w:p>
      <w:pPr>
        <w:pStyle w:val="Heading3"/>
        <w:spacing w:after="120" w:line="312" w:lineRule="auto"/>
        <w:jc w:val="left"/>
      </w:pPr>
      <w:r>
        <w:rPr>
          <w:rFonts w:ascii="DejaVu Serif" w:hAnsi="DejaVu Serif" w:eastAsia="Noto Serif CJK SC"/>
          <w:color w:val="000000"/>
          <w:sz w:val="26"/>
        </w:rPr>
        <w:t xml:space="preserve">Annex C.01.001</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Decision-Making Criteria for Providing Economic Assistance to Younger Siblings</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(Verbatim Full Text)</w:t>
      </w:r>
    </w:p>
    <w:p>
      <w:pPr>
        <w:pStyle w:val="FirstParagraph"/>
        <w:spacing w:after="120" w:line="312" w:lineRule="auto"/>
      </w:pPr>
      <w:r>
        <w:rPr>
          <w:rFonts w:ascii="DejaVu Serif" w:hAnsi="DejaVu Serif" w:eastAsia="Noto Serif CJK SC"/>
          <w:color w:val="000000"/>
          <w:sz w:val="22"/>
        </w:rPr>
        <w:t xml:space="preserve">【Verbatim Full Text】</w:t>
      </w:r>
    </w:p>
    <w:p>
      <w:pPr>
        <w:pStyle w:val="BodyText"/>
        <w:spacing w:after="120" w:line="312" w:lineRule="auto"/>
      </w:pPr>
      <w:r>
        <w:rPr>
          <w:rFonts w:ascii="DejaVu Serif" w:hAnsi="DejaVu Serif" w:eastAsia="Noto Serif CJK SC"/>
          <w:color w:val="000000"/>
          <w:sz w:val="22"/>
        </w:rPr>
        <w:t xml:space="preserve">Annex C.01.001:</w:t>
      </w:r>
    </w:p>
    <w:p>
      <w:pPr>
        <w:pStyle w:val="BodyText"/>
        <w:spacing w:after="120" w:line="312" w:lineRule="auto"/>
      </w:pPr>
      <w:r>
        <w:rPr>
          <w:rFonts w:ascii="DejaVu Serif" w:hAnsi="DejaVu Serif" w:eastAsia="Noto Serif CJK SC"/>
          <w:color w:val="000000"/>
          <w:sz w:val="22"/>
        </w:rPr>
        <w:t xml:space="preserve">“</w:t>
      </w:r>
      <w:r>
        <w:rPr>
          <w:rFonts w:ascii="DejaVu Serif" w:hAnsi="DejaVu Serif" w:eastAsia="Noto Serif CJK SC"/>
          <w:color w:val="000000"/>
          <w:sz w:val="22"/>
        </w:rPr>
        <w:t xml:space="preserve">Decision-Making Criteria for Providing Economic Assistance to Younger Siblings under the Charter of Life Action</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Article 1 【Purpose and Basis】</w:t>
      </w:r>
    </w:p>
    <w:p>
      <w:pPr>
        <w:pStyle w:val="BodyText"/>
        <w:spacing w:after="120" w:line="312" w:lineRule="auto"/>
      </w:pPr>
      <w:r>
        <w:rPr>
          <w:rFonts w:ascii="DejaVu Serif" w:hAnsi="DejaVu Serif" w:eastAsia="Noto Serif CJK SC"/>
          <w:color w:val="000000"/>
          <w:sz w:val="22"/>
        </w:rPr>
        <w:t xml:space="preserve">To practice the core principles of this Charter within family relationships, including but not limited to Article 4 【Value Prioritization】, Article 20 【Purpose of Core Asset Creation】, Article 72 【Altruistic Thinking】, and Article 73 【Win-Win Thinking】,</w:t>
      </w:r>
    </w:p>
    <w:p>
      <w:pPr>
        <w:pStyle w:val="BodyText"/>
        <w:spacing w:after="120" w:line="312" w:lineRule="auto"/>
      </w:pPr>
      <w:r>
        <w:rPr>
          <w:rFonts w:ascii="DejaVu Serif" w:hAnsi="DejaVu Serif" w:eastAsia="Noto Serif CJK SC"/>
          <w:color w:val="000000"/>
          <w:sz w:val="22"/>
        </w:rPr>
        <w:t xml:space="preserve">These regulations are hereby enacted. They aim to standardize the economic assistance provided to younger siblings (herein,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younger siblings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refers to younger brothers or younger sisters, whether biological, adopted, or junior counterparts arising from other legal relationships, agreements, or arrangements; the same applies throughout the text below). The purpose is to ensure that resource allocation aligns with the individual’s life strategy and genuinely promotes the long-term positive development of both the family as a whole and its individual members, thereby preventing the inefficient or ineffective consumption of resources.</w:t>
      </w:r>
    </w:p>
    <w:p>
      <w:pPr>
        <w:pStyle w:val="BodyText"/>
        <w:spacing w:after="120" w:line="312" w:lineRule="auto"/>
      </w:pPr>
      <w:r>
        <w:rPr>
          <w:rFonts w:ascii="DejaVu Serif" w:hAnsi="DejaVu Serif" w:eastAsia="Noto Serif CJK SC"/>
          <w:color w:val="000000"/>
          <w:sz w:val="22"/>
        </w:rPr>
        <w:t xml:space="preserve">Article 2 【Fundamental Principles of Assistance】</w:t>
      </w:r>
    </w:p>
    <w:p>
      <w:pPr>
        <w:pStyle w:val="BodyText"/>
        <w:spacing w:after="120" w:line="312" w:lineRule="auto"/>
      </w:pPr>
      <w:r>
        <w:rPr>
          <w:rFonts w:ascii="DejaVu Serif" w:hAnsi="DejaVu Serif" w:eastAsia="Noto Serif CJK SC"/>
          <w:color w:val="000000"/>
          <w:sz w:val="22"/>
        </w:rPr>
        <w:t xml:space="preserve">All monetary or economic requests from younger siblings shall adhere to the fundamental principle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prioritizing investment in growth and not supporting consumption and pleasure.</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All aid decisions must undergo the following three-level review:</w:t>
      </w:r>
    </w:p>
    <w:p>
      <w:pPr>
        <w:numPr>
          <w:ilvl w:val="0"/>
          <w:numId w:val="1108"/>
        </w:numPr>
        <w:spacing w:after="120" w:line="312" w:lineRule="auto"/>
      </w:pPr>
      <w:r>
        <w:rPr>
          <w:rFonts w:ascii="DejaVu Serif" w:hAnsi="DejaVu Serif" w:eastAsia="Noto Serif CJK SC"/>
          <w:color w:val="000000"/>
          <w:sz w:val="22"/>
        </w:rPr>
        <w:t xml:space="preserve">Purpose Review: Does the purpose of the request point toward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Life Growth</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Cognitive Awakening</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p>
    <w:p>
      <w:pPr>
        <w:numPr>
          <w:ilvl w:val="0"/>
          <w:numId w:val="1108"/>
        </w:numPr>
        <w:spacing w:after="120" w:line="312" w:lineRule="auto"/>
      </w:pPr>
      <w:r>
        <w:rPr>
          <w:rFonts w:ascii="DejaVu Serif" w:hAnsi="DejaVu Serif" w:eastAsia="Noto Serif CJK SC"/>
          <w:color w:val="000000"/>
          <w:sz w:val="22"/>
        </w:rPr>
        <w:t xml:space="preserve">Benefit Review: Will the positive impact generated by the aid action transcend the individual and benefit the entire family or a broader human community?</w:t>
      </w:r>
    </w:p>
    <w:p>
      <w:pPr>
        <w:numPr>
          <w:ilvl w:val="0"/>
          <w:numId w:val="1108"/>
        </w:numPr>
        <w:spacing w:after="120" w:line="312" w:lineRule="auto"/>
      </w:pPr>
      <w:r>
        <w:rPr>
          <w:rFonts w:ascii="DejaVu Serif" w:hAnsi="DejaVu Serif" w:eastAsia="Noto Serif CJK SC"/>
          <w:color w:val="000000"/>
          <w:sz w:val="22"/>
        </w:rPr>
        <w:t xml:space="preserve">Capacity Review: Is the aid action within the scope of the individual’s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capacity to act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in accordance with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Minimum Viable Contribution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principle, without compromising the individual’s core assets and cash flow security?</w:t>
      </w:r>
    </w:p>
    <w:p>
      <w:pPr>
        <w:pStyle w:val="FirstParagraph"/>
        <w:spacing w:after="120" w:line="312" w:lineRule="auto"/>
      </w:pPr>
      <w:r>
        <w:rPr>
          <w:rFonts w:ascii="DejaVu Serif" w:hAnsi="DejaVu Serif" w:eastAsia="Noto Serif CJK SC"/>
          <w:color w:val="000000"/>
          <w:sz w:val="22"/>
        </w:rPr>
        <w:t xml:space="preserve">Article 3 【Encouraged Aid Items (Green List)】</w:t>
      </w:r>
    </w:p>
    <w:p>
      <w:pPr>
        <w:pStyle w:val="BodyText"/>
        <w:spacing w:after="120" w:line="312" w:lineRule="auto"/>
      </w:pPr>
      <w:r>
        <w:rPr>
          <w:rFonts w:ascii="DejaVu Serif" w:hAnsi="DejaVu Serif" w:eastAsia="Noto Serif CJK SC"/>
          <w:color w:val="000000"/>
          <w:sz w:val="22"/>
        </w:rPr>
        <w:t xml:space="preserve">For requests that possess all of the following characteristics, positive consideration and assistance within one’s capacity should be provided in principle:</w:t>
      </w:r>
    </w:p>
    <w:p>
      <w:pPr>
        <w:numPr>
          <w:ilvl w:val="0"/>
          <w:numId w:val="1109"/>
        </w:numPr>
        <w:spacing w:after="120" w:line="312" w:lineRule="auto"/>
      </w:pPr>
      <w:r>
        <w:rPr>
          <w:rFonts w:ascii="DejaVu Serif" w:hAnsi="DejaVu Serif" w:eastAsia="Noto Serif CJK SC"/>
          <w:color w:val="000000"/>
          <w:sz w:val="22"/>
        </w:rPr>
        <w:t xml:space="preserve">Education and Growth Investment: Payment for high-quality education and training to enhance professional skills and cognitive levels, purchase of classic books, participation in in-depth industry conferences, etc.</w:t>
      </w:r>
    </w:p>
    <w:p>
      <w:pPr>
        <w:numPr>
          <w:ilvl w:val="0"/>
          <w:numId w:val="1109"/>
        </w:numPr>
        <w:spacing w:after="120" w:line="312" w:lineRule="auto"/>
      </w:pPr>
      <w:r>
        <w:rPr>
          <w:rFonts w:ascii="DejaVu Serif" w:hAnsi="DejaVu Serif" w:eastAsia="Noto Serif CJK SC"/>
          <w:color w:val="000000"/>
          <w:sz w:val="22"/>
        </w:rPr>
        <w:t xml:space="preserve">Entrepreneurship Startup Support: Initial startup capital based on detailed and feasible business plans, where the business direction aligns with the individual’s values or can create social value (may be considered in the form of equity or debt investment).</w:t>
      </w:r>
    </w:p>
    <w:p>
      <w:pPr>
        <w:numPr>
          <w:ilvl w:val="0"/>
          <w:numId w:val="1109"/>
        </w:numPr>
        <w:spacing w:after="120" w:line="312" w:lineRule="auto"/>
      </w:pPr>
      <w:r>
        <w:rPr>
          <w:rFonts w:ascii="DejaVu Serif" w:hAnsi="DejaVu Serif" w:eastAsia="Noto Serif CJK SC"/>
          <w:color w:val="000000"/>
          <w:sz w:val="22"/>
        </w:rPr>
        <w:t xml:space="preserve">Health Crisis Rescue: Necessary medical expenses for solving sudden, severe health problems.</w:t>
      </w:r>
    </w:p>
    <w:p>
      <w:pPr>
        <w:numPr>
          <w:ilvl w:val="0"/>
          <w:numId w:val="1109"/>
        </w:numPr>
        <w:spacing w:after="120" w:line="312" w:lineRule="auto"/>
      </w:pPr>
      <w:r>
        <w:rPr>
          <w:rFonts w:ascii="DejaVu Serif" w:hAnsi="DejaVu Serif" w:eastAsia="Noto Serif CJK SC"/>
          <w:color w:val="000000"/>
          <w:sz w:val="22"/>
        </w:rPr>
        <w:t xml:space="preserve">Strategic Consultation: The individual provides strategic guidance in life planning, career development, investment decisions, etc., with their professional expertise (this is the primary form of assistance).</w:t>
      </w:r>
    </w:p>
    <w:p>
      <w:pPr>
        <w:numPr>
          <w:ilvl w:val="0"/>
          <w:numId w:val="1109"/>
        </w:numPr>
        <w:spacing w:after="120" w:line="312" w:lineRule="auto"/>
      </w:pPr>
      <w:r>
        <w:rPr>
          <w:rFonts w:ascii="DejaVu Serif" w:hAnsi="DejaVu Serif" w:eastAsia="Noto Serif CJK SC"/>
          <w:color w:val="000000"/>
          <w:sz w:val="22"/>
        </w:rPr>
        <w:t xml:space="preserve">Other necessary assistance that is within the individual’s capacity to act and based on mutual and voluntary agreement between both parties.</w:t>
      </w:r>
    </w:p>
    <w:p>
      <w:pPr>
        <w:pStyle w:val="FirstParagraph"/>
        <w:spacing w:after="120" w:line="312" w:lineRule="auto"/>
      </w:pPr>
      <w:r>
        <w:rPr>
          <w:rFonts w:ascii="DejaVu Serif" w:hAnsi="DejaVu Serif" w:eastAsia="Noto Serif CJK SC"/>
          <w:color w:val="000000"/>
          <w:sz w:val="22"/>
        </w:rPr>
        <w:t xml:space="preserve">Article 4 【Prohibited Aid Items (Red List)】</w:t>
      </w:r>
    </w:p>
    <w:p>
      <w:pPr>
        <w:pStyle w:val="BodyText"/>
        <w:spacing w:after="120" w:line="312" w:lineRule="auto"/>
      </w:pPr>
      <w:r>
        <w:rPr>
          <w:rFonts w:ascii="DejaVu Serif" w:hAnsi="DejaVu Serif" w:eastAsia="Noto Serif CJK SC"/>
          <w:color w:val="000000"/>
          <w:sz w:val="22"/>
        </w:rPr>
        <w:t xml:space="preserve">For requests that possess any of the following characteristics, economic assistance should not be provided in principle:</w:t>
      </w:r>
    </w:p>
    <w:p>
      <w:pPr>
        <w:numPr>
          <w:ilvl w:val="0"/>
          <w:numId w:val="1110"/>
        </w:numPr>
        <w:spacing w:after="120" w:line="312" w:lineRule="auto"/>
      </w:pPr>
      <w:r>
        <w:rPr>
          <w:rFonts w:ascii="DejaVu Serif" w:hAnsi="DejaVu Serif" w:eastAsia="Noto Serif CJK SC"/>
          <w:color w:val="000000"/>
          <w:sz w:val="22"/>
        </w:rPr>
        <w:t xml:space="preserve">Purely Recreational Consumption: Expenditure on non-luxury goods, entertainment tourism, high-end dining, and other hedonic expenses that do not substantively contribute to personal growth.</w:t>
      </w:r>
    </w:p>
    <w:p>
      <w:pPr>
        <w:numPr>
          <w:ilvl w:val="0"/>
          <w:numId w:val="1110"/>
        </w:numPr>
        <w:spacing w:after="120" w:line="312" w:lineRule="auto"/>
      </w:pPr>
      <w:r>
        <w:rPr>
          <w:rFonts w:ascii="DejaVu Serif" w:hAnsi="DejaVu Serif" w:eastAsia="Noto Serif CJK SC"/>
          <w:color w:val="000000"/>
          <w:sz w:val="22"/>
        </w:rPr>
        <w:t xml:space="preserve">Maintaining Unhealthy Lifestyle Habits: Any expenditure that may foster laziness, dependency, or unhealthy habits.</w:t>
      </w:r>
    </w:p>
    <w:p>
      <w:pPr>
        <w:numPr>
          <w:ilvl w:val="0"/>
          <w:numId w:val="1110"/>
        </w:numPr>
        <w:spacing w:after="120" w:line="312" w:lineRule="auto"/>
      </w:pPr>
      <w:r>
        <w:rPr>
          <w:rFonts w:ascii="DejaVu Serif" w:hAnsi="DejaVu Serif" w:eastAsia="Noto Serif CJK SC"/>
          <w:color w:val="000000"/>
          <w:sz w:val="22"/>
        </w:rPr>
        <w:t xml:space="preserve">Large-scale Quality of Life Improvement: Including but not limited to grant-based assistance for down payments on non-urgent assets such as real estate or vehicles. Such requests confuse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needs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with</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desires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fail to provide genuine growth incentives,</w:t>
      </w:r>
    </w:p>
    <w:p>
      <w:pPr>
        <w:pStyle w:val="FirstParagraph"/>
        <w:spacing w:after="120" w:line="312" w:lineRule="auto"/>
      </w:pPr>
      <w:r>
        <w:rPr>
          <w:rFonts w:ascii="DejaVu Serif" w:hAnsi="DejaVu Serif" w:eastAsia="Noto Serif CJK SC"/>
          <w:color w:val="000000"/>
          <w:sz w:val="22"/>
        </w:rPr>
        <w:t xml:space="preserve">and may instead foster dependency. The threshold for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large amount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is determined by the person providing assistance, combined with the principle of case-by-case consideration,</w:t>
      </w:r>
    </w:p>
    <w:p>
      <w:pPr>
        <w:pStyle w:val="BodyText"/>
        <w:spacing w:after="120" w:line="312" w:lineRule="auto"/>
      </w:pPr>
      <w:r>
        <w:rPr>
          <w:rFonts w:ascii="DejaVu Serif" w:hAnsi="DejaVu Serif" w:eastAsia="Noto Serif CJK SC"/>
          <w:color w:val="000000"/>
          <w:sz w:val="22"/>
        </w:rPr>
        <w:t xml:space="preserve">and shall be clearly communicated to the other party before or simultaneously with the response to provide assistance.</w:t>
      </w:r>
    </w:p>
    <w:p>
      <w:pPr>
        <w:numPr>
          <w:ilvl w:val="0"/>
          <w:numId w:val="1111"/>
        </w:numPr>
        <w:spacing w:after="120" w:line="312" w:lineRule="auto"/>
      </w:pPr>
      <w:r>
        <w:rPr>
          <w:rFonts w:ascii="DejaVu Serif" w:hAnsi="DejaVu Serif" w:eastAsia="Noto Serif CJK SC"/>
          <w:color w:val="000000"/>
          <w:sz w:val="22"/>
        </w:rPr>
        <w:t xml:space="preserve">Covering Non-strategic Financial Deficits: Daily financial deficits caused by poor personal financial management or impulsive consumption.</w:t>
      </w:r>
    </w:p>
    <w:p>
      <w:pPr>
        <w:numPr>
          <w:ilvl w:val="0"/>
          <w:numId w:val="1111"/>
        </w:numPr>
        <w:spacing w:after="120" w:line="312" w:lineRule="auto"/>
      </w:pPr>
      <w:r>
        <w:rPr>
          <w:rFonts w:ascii="DejaVu Serif" w:hAnsi="DejaVu Serif" w:eastAsia="Noto Serif CJK SC"/>
          <w:color w:val="000000"/>
          <w:sz w:val="22"/>
        </w:rPr>
        <w:t xml:space="preserve">Any unnecessary assistance that is not based on statute, nor based on agreement or/and not voluntary by the individual providing assistance.</w:t>
      </w:r>
    </w:p>
    <w:p>
      <w:pPr>
        <w:pStyle w:val="FirstParagraph"/>
        <w:spacing w:after="120" w:line="312" w:lineRule="auto"/>
      </w:pPr>
      <w:r>
        <w:rPr>
          <w:rFonts w:ascii="DejaVu Serif" w:hAnsi="DejaVu Serif" w:eastAsia="Noto Serif CJK SC"/>
          <w:color w:val="000000"/>
          <w:sz w:val="22"/>
        </w:rPr>
        <w:t xml:space="preserve">Article 5 【Decision and Implementation Process】</w:t>
      </w:r>
    </w:p>
    <w:p>
      <w:pPr>
        <w:numPr>
          <w:ilvl w:val="0"/>
          <w:numId w:val="1112"/>
        </w:numPr>
        <w:spacing w:after="120" w:line="312" w:lineRule="auto"/>
      </w:pPr>
      <w:r>
        <w:rPr>
          <w:rFonts w:ascii="DejaVu Serif" w:hAnsi="DejaVu Serif" w:eastAsia="Noto Serif CJK SC"/>
          <w:color w:val="000000"/>
          <w:sz w:val="22"/>
        </w:rPr>
        <w:t xml:space="preserve">Written Request: Encourage (or require) younger siblings to submit a brief written explanation for large aid requests, elaborating on the purpose, expected growth benefits, and potential value to the family.</w:t>
      </w:r>
    </w:p>
    <w:p>
      <w:pPr>
        <w:numPr>
          <w:ilvl w:val="0"/>
          <w:numId w:val="1112"/>
        </w:numPr>
        <w:spacing w:after="120" w:line="312" w:lineRule="auto"/>
      </w:pPr>
      <w:r>
        <w:rPr>
          <w:rFonts w:ascii="DejaVu Serif" w:hAnsi="DejaVu Serif" w:eastAsia="Noto Serif CJK SC"/>
          <w:color w:val="000000"/>
          <w:sz w:val="22"/>
        </w:rPr>
        <w:t xml:space="preserve">Essential Analysis: Conduct independent analysis in accordance with Article 25 【Case-by-case Principle】 and in conjunction with these guidelines.</w:t>
      </w:r>
    </w:p>
    <w:p>
      <w:pPr>
        <w:numPr>
          <w:ilvl w:val="0"/>
          <w:numId w:val="1112"/>
        </w:numPr>
        <w:spacing w:after="120" w:line="312" w:lineRule="auto"/>
      </w:pPr>
      <w:r>
        <w:rPr>
          <w:rFonts w:ascii="DejaVu Serif" w:hAnsi="DejaVu Serif" w:eastAsia="Noto Serif CJK SC"/>
          <w:color w:val="000000"/>
          <w:sz w:val="22"/>
        </w:rPr>
        <w:t xml:space="preserve">Form Selection: Even when providing assistance, prioritize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Knowledge Transfer (Article 3)</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Resource Linkage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over direct monetary provision. If monetary assistance is necessary, it may be specified as 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conditional gift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(such as reimbursement upon achieving a learning goal) or 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loan,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with a simple agreement established to cultivate their sense of responsibility and contractual spirit.</w:t>
      </w:r>
    </w:p>
    <w:p>
      <w:pPr>
        <w:numPr>
          <w:ilvl w:val="0"/>
          <w:numId w:val="1112"/>
        </w:numPr>
        <w:spacing w:after="120" w:line="312" w:lineRule="auto"/>
      </w:pPr>
      <w:r>
        <w:rPr>
          <w:rFonts w:ascii="DejaVu Serif" w:hAnsi="DejaVu Serif" w:eastAsia="Noto Serif CJK SC"/>
          <w:color w:val="000000"/>
          <w:sz w:val="22"/>
        </w:rPr>
        <w:t xml:space="preserve">Record and Review: Document major aid decisions and conduct regular reviews of their effectiveness to validate these guidelines.</w:t>
      </w:r>
    </w:p>
    <w:p>
      <w:pPr>
        <w:pStyle w:val="FirstParagraph"/>
        <w:spacing w:after="120" w:line="312" w:lineRule="auto"/>
      </w:pPr>
      <w:r>
        <w:rPr>
          <w:rFonts w:ascii="DejaVu Serif" w:hAnsi="DejaVu Serif" w:eastAsia="Noto Serif CJK SC"/>
          <w:color w:val="000000"/>
          <w:sz w:val="22"/>
        </w:rPr>
        <w:t xml:space="preserve">Article 6 【Effectiveness and Implementation】</w:t>
      </w:r>
    </w:p>
    <w:p>
      <w:pPr>
        <w:pStyle w:val="BodyText"/>
        <w:spacing w:after="120" w:line="312" w:lineRule="auto"/>
      </w:pPr>
      <w:r>
        <w:rPr>
          <w:rFonts w:ascii="DejaVu Serif" w:hAnsi="DejaVu Serif" w:eastAsia="Noto Serif CJK SC"/>
          <w:color w:val="000000"/>
          <w:sz w:val="22"/>
        </w:rPr>
        <w:t xml:space="preserve">This Correction Bill shall take effect from the date of signature by the Charter Corrector and shall be implemented from the date of effectiveness.</w:t>
      </w:r>
    </w:p>
    <w:p>
      <w:pPr>
        <w:spacing w:after="120" w:line="312" w:lineRule="auto"/>
      </w:pPr>
      <w:r>
        <w:rPr>
          <w:rFonts w:ascii="DejaVu Serif" w:hAnsi="DejaVu Serif" w:eastAsia="Noto Serif CJK SC"/>
          <w:color w:val="000000"/>
          <w:sz w:val="22"/>
        </w:rPr>
        <w:pict>
          <v:rect style="width:0;height:1.5pt" o:hralign="center" o:hrstd="t" o:hr="t"/>
        </w:pict>
      </w:r>
    </w:p>
    <w:bookmarkEnd w:id="260"/>
    <w:bookmarkEnd w:id="261"/>
    <w:bookmarkStart w:id="263" w:name="series-d-security-and-civic-obligations"/>
    <w:p>
      <w:pPr>
        <w:pStyle w:val="Heading2"/>
        <w:spacing w:after="160" w:line="312" w:lineRule="auto"/>
        <w:jc w:val="left"/>
      </w:pPr>
      <w:r>
        <w:rPr>
          <w:rFonts w:ascii="DejaVu Serif" w:hAnsi="DejaVu Serif" w:eastAsia="Noto Serif CJK SC"/>
          <w:color w:val="000000"/>
          <w:sz w:val="30"/>
        </w:rPr>
        <w:t xml:space="preserve">Series D · Security and Civic Obligations</w:t>
      </w:r>
    </w:p>
    <w:bookmarkStart w:id="262" w:name="X1be3141320115495830303135a17b643beb014d"/>
    <w:p>
      <w:pPr>
        <w:pStyle w:val="Heading3"/>
        <w:spacing w:after="120" w:line="312" w:lineRule="auto"/>
        <w:jc w:val="left"/>
      </w:pPr>
      <w:r>
        <w:rPr>
          <w:rFonts w:ascii="DejaVu Serif" w:hAnsi="DejaVu Serif" w:eastAsia="Noto Serif CJK SC"/>
          <w:color w:val="000000"/>
          <w:sz w:val="26"/>
        </w:rPr>
        <w:t xml:space="preserve">Annex D.01.001 《Implementation Regulations for the Non-Participation in War Principle》 (Verbatim Full Text)</w:t>
      </w:r>
    </w:p>
    <w:p>
      <w:pPr>
        <w:pStyle w:val="FirstParagraph"/>
        <w:spacing w:after="120" w:line="312" w:lineRule="auto"/>
      </w:pPr>
      <w:r>
        <w:rPr>
          <w:rFonts w:ascii="DejaVu Serif" w:hAnsi="DejaVu Serif" w:eastAsia="Noto Serif CJK SC"/>
          <w:color w:val="000000"/>
          <w:sz w:val="22"/>
        </w:rPr>
        <w:t xml:space="preserve">【Verbatim Full Text】</w:t>
      </w:r>
    </w:p>
    <w:p>
      <w:pPr>
        <w:pStyle w:val="BodyText"/>
        <w:spacing w:after="120" w:line="312" w:lineRule="auto"/>
      </w:pPr>
      <w:r>
        <w:rPr>
          <w:rFonts w:ascii="DejaVu Serif" w:hAnsi="DejaVu Serif" w:eastAsia="Noto Serif CJK SC"/>
          <w:color w:val="000000"/>
          <w:sz w:val="22"/>
        </w:rPr>
        <w:t xml:space="preserve">Implementation Regulations for Article 94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Charter of Life Action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(Non-Participation in War Principle) Chapter I General Provisions</w:t>
      </w:r>
    </w:p>
    <w:p>
      <w:pPr>
        <w:pStyle w:val="BodyText"/>
        <w:spacing w:after="120" w:line="312" w:lineRule="auto"/>
      </w:pPr>
      <w:r>
        <w:rPr>
          <w:rFonts w:ascii="DejaVu Serif" w:hAnsi="DejaVu Serif" w:eastAsia="Noto Serif CJK SC"/>
          <w:color w:val="000000"/>
          <w:sz w:val="22"/>
        </w:rPr>
        <w:t xml:space="preserve">Article 1 (Legislative Basis)</w:t>
      </w:r>
    </w:p>
    <w:p>
      <w:pPr>
        <w:pStyle w:val="BodyText"/>
        <w:spacing w:after="120" w:line="312" w:lineRule="auto"/>
      </w:pPr>
      <w:r>
        <w:rPr>
          <w:rFonts w:ascii="DejaVu Serif" w:hAnsi="DejaVu Serif" w:eastAsia="Noto Serif CJK SC"/>
          <w:color w:val="000000"/>
          <w:sz w:val="22"/>
        </w:rPr>
        <w:t xml:space="preserve">To thoroughly implement the principle of Article 94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Charter of Life Action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Under no circumstances and for no reason shall one enlist in the military or participate in any war,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these Regulations are hereby established to regulate the preventive migration, entry and exit management, identity and international residence arrangements, and other action plans to be taken by the individual to avoid involvement in war before and after a state of war is declared by a country.</w:t>
      </w:r>
    </w:p>
    <w:p>
      <w:pPr>
        <w:pStyle w:val="BodyText"/>
        <w:spacing w:after="120" w:line="312" w:lineRule="auto"/>
      </w:pPr>
      <w:r>
        <w:rPr>
          <w:rFonts w:ascii="DejaVu Serif" w:hAnsi="DejaVu Serif" w:eastAsia="Noto Serif CJK SC"/>
          <w:color w:val="000000"/>
          <w:sz w:val="22"/>
        </w:rPr>
        <w:t xml:space="preserve">Article 2 (Core Objectives)</w:t>
      </w:r>
    </w:p>
    <w:p>
      <w:pPr>
        <w:pStyle w:val="BodyText"/>
        <w:spacing w:after="120" w:line="312" w:lineRule="auto"/>
      </w:pPr>
      <w:r>
        <w:rPr>
          <w:rFonts w:ascii="DejaVu Serif" w:hAnsi="DejaVu Serif" w:eastAsia="Noto Serif CJK SC"/>
          <w:color w:val="000000"/>
          <w:sz w:val="22"/>
        </w:rPr>
        <w:t xml:space="preserve">Through systematic and forward-looking arrangements, ensure that before any country or region enters a state of war, the individual can legally, orderly, and safely evacuate from potential combat zones or belligerent countries, minimizing the impact of war on personal safety, freedom of action, and long-term life planning.</w:t>
      </w:r>
    </w:p>
    <w:p>
      <w:pPr>
        <w:pStyle w:val="BodyText"/>
        <w:spacing w:after="120" w:line="312" w:lineRule="auto"/>
      </w:pPr>
      <w:r>
        <w:rPr>
          <w:rFonts w:ascii="DejaVu Serif" w:hAnsi="DejaVu Serif" w:eastAsia="Noto Serif CJK SC"/>
          <w:color w:val="000000"/>
          <w:sz w:val="22"/>
        </w:rPr>
        <w:t xml:space="preserve">Article 3 (Basic Principles)</w:t>
      </w:r>
    </w:p>
    <w:p>
      <w:pPr>
        <w:numPr>
          <w:ilvl w:val="0"/>
          <w:numId w:val="1113"/>
        </w:numPr>
        <w:spacing w:after="120" w:line="312" w:lineRule="auto"/>
      </w:pPr>
      <w:r>
        <w:rPr>
          <w:rFonts w:ascii="DejaVu Serif" w:hAnsi="DejaVu Serif" w:eastAsia="Noto Serif CJK SC"/>
          <w:color w:val="000000"/>
          <w:sz w:val="22"/>
        </w:rPr>
        <w:t xml:space="preserve">Proactivity Principle: Guided by early warnings, initiate contingency plans before the risk of war significantly increases or before a country formally declares a state of war.</w:t>
      </w:r>
    </w:p>
    <w:p>
      <w:pPr>
        <w:numPr>
          <w:ilvl w:val="0"/>
          <w:numId w:val="1113"/>
        </w:numPr>
        <w:spacing w:after="120" w:line="312" w:lineRule="auto"/>
      </w:pPr>
      <w:r>
        <w:rPr>
          <w:rFonts w:ascii="DejaVu Serif" w:hAnsi="DejaVu Serif" w:eastAsia="Noto Serif CJK SC"/>
          <w:color w:val="000000"/>
          <w:sz w:val="22"/>
        </w:rPr>
        <w:t xml:space="preserve">Preventive Principle: Migration avoidance as the core means, without relying on post-event emergency response.</w:t>
      </w:r>
    </w:p>
    <w:p>
      <w:pPr>
        <w:numPr>
          <w:ilvl w:val="0"/>
          <w:numId w:val="1113"/>
        </w:numPr>
        <w:spacing w:after="120" w:line="312" w:lineRule="auto"/>
      </w:pPr>
      <w:r>
        <w:rPr>
          <w:rFonts w:ascii="DejaVu Serif" w:hAnsi="DejaVu Serif" w:eastAsia="Noto Serif CJK SC"/>
          <w:color w:val="000000"/>
          <w:sz w:val="22"/>
        </w:rPr>
        <w:t xml:space="preserve">Legality Principle: All actions comply with international law and the domestic law of the place of action, ensuring legal procedures and compliant pathways.</w:t>
      </w:r>
    </w:p>
    <w:p>
      <w:pPr>
        <w:numPr>
          <w:ilvl w:val="0"/>
          <w:numId w:val="1113"/>
        </w:numPr>
        <w:spacing w:after="120" w:line="312" w:lineRule="auto"/>
      </w:pPr>
      <w:r>
        <w:rPr>
          <w:rFonts w:ascii="DejaVu Serif" w:hAnsi="DejaVu Serif" w:eastAsia="Noto Serif CJK SC"/>
          <w:color w:val="000000"/>
          <w:sz w:val="22"/>
        </w:rPr>
        <w:t xml:space="preserve">Risk Diversification Principle: Identity, residence rights, assets, and places of residence all have multi-country backups to avoid single-point dependency.</w:t>
      </w:r>
    </w:p>
    <w:p>
      <w:pPr>
        <w:pStyle w:val="FirstParagraph"/>
        <w:spacing w:after="120" w:line="312" w:lineRule="auto"/>
      </w:pPr>
      <w:r>
        <w:rPr>
          <w:rFonts w:ascii="DejaVu Serif" w:hAnsi="DejaVu Serif" w:eastAsia="Noto Serif CJK SC"/>
          <w:color w:val="000000"/>
          <w:sz w:val="22"/>
        </w:rPr>
        <w:t xml:space="preserve">Chapter II Key Terminology Definitions</w:t>
      </w:r>
    </w:p>
    <w:p>
      <w:pPr>
        <w:pStyle w:val="BodyText"/>
        <w:spacing w:after="120" w:line="312" w:lineRule="auto"/>
      </w:pPr>
      <w:r>
        <w:rPr>
          <w:rFonts w:ascii="DejaVu Serif" w:hAnsi="DejaVu Serif" w:eastAsia="Noto Serif CJK SC"/>
          <w:color w:val="000000"/>
          <w:sz w:val="22"/>
        </w:rPr>
        <w:t xml:space="preserve">Article 4 (State of War)</w:t>
      </w:r>
    </w:p>
    <w:p>
      <w:pPr>
        <w:pStyle w:val="BodyText"/>
        <w:spacing w:after="120" w:line="312" w:lineRule="auto"/>
      </w:pPr>
      <w:r>
        <w:rPr>
          <w:rFonts w:ascii="DejaVu Serif" w:hAnsi="DejaVu Serif" w:eastAsia="Noto Serif CJK SC"/>
          <w:color w:val="000000"/>
          <w:sz w:val="22"/>
        </w:rPr>
        <w:t xml:space="preserve">Refers to a sovereign state’s formal declaration of entry into a state of war, armed conflict, national military mobilization, or de facto military control, based on its domestic laws or international law, including but not limited to:</w:t>
      </w:r>
    </w:p>
    <w:p>
      <w:pPr>
        <w:numPr>
          <w:ilvl w:val="0"/>
          <w:numId w:val="1114"/>
        </w:numPr>
        <w:spacing w:after="120" w:line="312" w:lineRule="auto"/>
      </w:pPr>
      <w:r>
        <w:rPr>
          <w:rFonts w:ascii="DejaVu Serif" w:hAnsi="DejaVu Serif" w:eastAsia="Noto Serif CJK SC"/>
          <w:color w:val="000000"/>
          <w:sz w:val="22"/>
        </w:rPr>
        <w:t xml:space="preserve">The state issues a war mobilization order or a declaration of war;</w:t>
      </w:r>
    </w:p>
    <w:p>
      <w:pPr>
        <w:numPr>
          <w:ilvl w:val="0"/>
          <w:numId w:val="1114"/>
        </w:numPr>
        <w:spacing w:after="120" w:line="312" w:lineRule="auto"/>
      </w:pPr>
      <w:r>
        <w:rPr>
          <w:rFonts w:ascii="DejaVu Serif" w:hAnsi="DejaVu Serif" w:eastAsia="Noto Serif CJK SC"/>
          <w:color w:val="000000"/>
          <w:sz w:val="22"/>
        </w:rPr>
        <w:t xml:space="preserve">The United Nations Security Council or the International Court of Justice determines the existence of an armed conflict;</w:t>
      </w:r>
    </w:p>
    <w:p>
      <w:pPr>
        <w:numPr>
          <w:ilvl w:val="0"/>
          <w:numId w:val="1114"/>
        </w:numPr>
        <w:spacing w:after="120" w:line="312" w:lineRule="auto"/>
      </w:pPr>
      <w:r>
        <w:rPr>
          <w:rFonts w:ascii="DejaVu Serif" w:hAnsi="DejaVu Serif" w:eastAsia="Noto Serif CJK SC"/>
          <w:color w:val="000000"/>
          <w:sz w:val="22"/>
        </w:rPr>
        <w:t xml:space="preserve">The person’s country of nationality, country of usual residence, or country of intended travel is widely regarded by international public opinion as an actual participant in the war.</w:t>
      </w:r>
    </w:p>
    <w:p>
      <w:pPr>
        <w:pStyle w:val="FirstParagraph"/>
        <w:spacing w:after="120" w:line="312" w:lineRule="auto"/>
      </w:pPr>
      <w:r>
        <w:rPr>
          <w:rFonts w:ascii="DejaVu Serif" w:hAnsi="DejaVu Serif" w:eastAsia="Noto Serif CJK SC"/>
          <w:color w:val="000000"/>
          <w:sz w:val="22"/>
        </w:rPr>
        <w:t xml:space="preserve">Article 5 (Preventive Migration)</w:t>
      </w:r>
    </w:p>
    <w:p>
      <w:pPr>
        <w:pStyle w:val="BodyText"/>
        <w:spacing w:after="120" w:line="312" w:lineRule="auto"/>
      </w:pPr>
      <w:r>
        <w:rPr>
          <w:rFonts w:ascii="DejaVu Serif" w:hAnsi="DejaVu Serif" w:eastAsia="Noto Serif CJK SC"/>
          <w:color w:val="000000"/>
          <w:sz w:val="22"/>
        </w:rPr>
        <w:t xml:space="preserve">Refers to the proactive transfer of one’s place of usual residence, workplace, and legal status to a neutral or non-belligerent country to avoid the impact of war, before a state of war formally takes effect.</w:t>
      </w:r>
    </w:p>
    <w:p>
      <w:pPr>
        <w:pStyle w:val="BodyText"/>
        <w:spacing w:after="120" w:line="312" w:lineRule="auto"/>
      </w:pPr>
      <w:r>
        <w:rPr>
          <w:rFonts w:ascii="DejaVu Serif" w:hAnsi="DejaVu Serif" w:eastAsia="Noto Serif CJK SC"/>
          <w:color w:val="000000"/>
          <w:sz w:val="22"/>
        </w:rPr>
        <w:t xml:space="preserve">Article 6 (Safe Second Country)</w:t>
      </w:r>
    </w:p>
    <w:p>
      <w:pPr>
        <w:pStyle w:val="BodyText"/>
        <w:spacing w:after="120" w:line="312" w:lineRule="auto"/>
      </w:pPr>
      <w:r>
        <w:rPr>
          <w:rFonts w:ascii="DejaVu Serif" w:hAnsi="DejaVu Serif" w:eastAsia="Noto Serif CJK SC"/>
          <w:color w:val="000000"/>
          <w:sz w:val="22"/>
        </w:rPr>
        <w:t xml:space="preserve">Refers to a country that simultaneously meets the following conditions:</w:t>
      </w:r>
    </w:p>
    <w:p>
      <w:pPr>
        <w:numPr>
          <w:ilvl w:val="0"/>
          <w:numId w:val="1115"/>
        </w:numPr>
        <w:spacing w:after="120" w:line="312" w:lineRule="auto"/>
      </w:pPr>
      <w:r>
        <w:rPr>
          <w:rFonts w:ascii="DejaVu Serif" w:hAnsi="DejaVu Serif" w:eastAsia="Noto Serif CJK SC"/>
          <w:color w:val="000000"/>
          <w:sz w:val="22"/>
        </w:rPr>
        <w:t xml:space="preserve">Clearly maintains a neutral or non-belligerent stance in the current international conflict;</w:t>
      </w:r>
    </w:p>
    <w:p>
      <w:pPr>
        <w:numPr>
          <w:ilvl w:val="0"/>
          <w:numId w:val="1115"/>
        </w:numPr>
        <w:spacing w:after="120" w:line="312" w:lineRule="auto"/>
      </w:pPr>
      <w:r>
        <w:rPr>
          <w:rFonts w:ascii="DejaVu Serif" w:hAnsi="DejaVu Serif" w:eastAsia="Noto Serif CJK SC"/>
          <w:color w:val="000000"/>
          <w:sz w:val="22"/>
        </w:rPr>
        <w:t xml:space="preserve">Has no standing extradition or compulsory military cooperation agreements with the person’s country of nationality;</w:t>
      </w:r>
    </w:p>
    <w:p>
      <w:pPr>
        <w:numPr>
          <w:ilvl w:val="0"/>
          <w:numId w:val="1115"/>
        </w:numPr>
        <w:spacing w:after="120" w:line="312" w:lineRule="auto"/>
      </w:pPr>
      <w:r>
        <w:rPr>
          <w:rFonts w:ascii="DejaVu Serif" w:hAnsi="DejaVu Serif" w:eastAsia="Noto Serif CJK SC"/>
          <w:color w:val="000000"/>
          <w:sz w:val="22"/>
        </w:rPr>
        <w:t xml:space="preserve">Has a relatively stable political and economic environment, with a legal foundation for long-term residence and business operations.</w:t>
      </w:r>
    </w:p>
    <w:p>
      <w:pPr>
        <w:pStyle w:val="FirstParagraph"/>
        <w:spacing w:after="120" w:line="312" w:lineRule="auto"/>
      </w:pPr>
      <w:r>
        <w:rPr>
          <w:rFonts w:ascii="DejaVu Serif" w:hAnsi="DejaVu Serif" w:eastAsia="Noto Serif CJK SC"/>
          <w:color w:val="000000"/>
          <w:sz w:val="22"/>
        </w:rPr>
        <w:t xml:space="preserve">Chapter III Early Warning and Risk Assessment Mechanism</w:t>
      </w:r>
    </w:p>
    <w:p>
      <w:pPr>
        <w:pStyle w:val="BodyText"/>
        <w:spacing w:after="120" w:line="312" w:lineRule="auto"/>
      </w:pPr>
      <w:r>
        <w:rPr>
          <w:rFonts w:ascii="DejaVu Serif" w:hAnsi="DejaVu Serif" w:eastAsia="Noto Serif CJK SC"/>
          <w:color w:val="000000"/>
          <w:sz w:val="22"/>
        </w:rPr>
        <w:t xml:space="preserve">Article 7 (Risk Monitoring List)</w:t>
      </w:r>
    </w:p>
    <w:p>
      <w:pPr>
        <w:pStyle w:val="BodyText"/>
        <w:spacing w:after="120" w:line="312" w:lineRule="auto"/>
      </w:pPr>
      <w:r>
        <w:rPr>
          <w:rFonts w:ascii="DejaVu Serif" w:hAnsi="DejaVu Serif" w:eastAsia="Noto Serif CJK SC"/>
          <w:color w:val="000000"/>
          <w:sz w:val="22"/>
        </w:rPr>
        <w:t xml:space="preserve">Continuously monitor the following signals; any significant escalation of a signal will trigger contingency assessment:</w:t>
      </w:r>
    </w:p>
    <w:p>
      <w:pPr>
        <w:numPr>
          <w:ilvl w:val="0"/>
          <w:numId w:val="1116"/>
        </w:numPr>
        <w:spacing w:after="120" w:line="312" w:lineRule="auto"/>
      </w:pPr>
      <w:r>
        <w:rPr>
          <w:rFonts w:ascii="DejaVu Serif" w:hAnsi="DejaVu Serif" w:eastAsia="Noto Serif CJK SC"/>
          <w:color w:val="000000"/>
          <w:sz w:val="22"/>
        </w:rPr>
        <w:t xml:space="preserve">Military confrontation between the country of nationality or country of usual residence and other countries escalates, with frequent border conflicts;</w:t>
      </w:r>
    </w:p>
    <w:p>
      <w:pPr>
        <w:numPr>
          <w:ilvl w:val="0"/>
          <w:numId w:val="1116"/>
        </w:numPr>
        <w:spacing w:after="120" w:line="312" w:lineRule="auto"/>
      </w:pPr>
      <w:r>
        <w:rPr>
          <w:rFonts w:ascii="DejaVu Serif" w:hAnsi="DejaVu Serif" w:eastAsia="Noto Serif CJK SC"/>
          <w:color w:val="000000"/>
          <w:sz w:val="22"/>
        </w:rPr>
        <w:t xml:space="preserve">Major powers or the United Nations issue war risk warnings;</w:t>
      </w:r>
    </w:p>
    <w:p>
      <w:pPr>
        <w:numPr>
          <w:ilvl w:val="0"/>
          <w:numId w:val="1116"/>
        </w:numPr>
        <w:spacing w:after="120" w:line="312" w:lineRule="auto"/>
      </w:pPr>
      <w:r>
        <w:rPr>
          <w:rFonts w:ascii="DejaVu Serif" w:hAnsi="DejaVu Serif" w:eastAsia="Noto Serif CJK SC"/>
          <w:color w:val="000000"/>
          <w:sz w:val="22"/>
        </w:rPr>
        <w:t xml:space="preserve">Global mainstream media widely reports that the probability of war in a certain region exceeds 40%.</w:t>
      </w:r>
    </w:p>
    <w:p>
      <w:pPr>
        <w:pStyle w:val="FirstParagraph"/>
        <w:spacing w:after="120" w:line="312" w:lineRule="auto"/>
      </w:pPr>
      <w:r>
        <w:rPr>
          <w:rFonts w:ascii="DejaVu Serif" w:hAnsi="DejaVu Serif" w:eastAsia="Noto Serif CJK SC"/>
          <w:color w:val="000000"/>
          <w:sz w:val="22"/>
        </w:rPr>
        <w:t xml:space="preserve">Article 8 (Risk Assessment Process)</w:t>
      </w:r>
    </w:p>
    <w:p>
      <w:pPr>
        <w:pStyle w:val="BodyText"/>
        <w:spacing w:after="120" w:line="312" w:lineRule="auto"/>
      </w:pPr>
      <w:r>
        <w:rPr>
          <w:rFonts w:ascii="DejaVu Serif" w:hAnsi="DejaVu Serif" w:eastAsia="Noto Serif CJK SC"/>
          <w:color w:val="000000"/>
          <w:sz w:val="22"/>
        </w:rPr>
        <w:t xml:space="preserve">Conduct routine monthly assessments of geopolitical risks; when the risk level reaches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High</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p>
    <w:p>
      <w:pPr>
        <w:numPr>
          <w:ilvl w:val="0"/>
          <w:numId w:val="1117"/>
        </w:numPr>
        <w:spacing w:after="120" w:line="312" w:lineRule="auto"/>
      </w:pPr>
      <w:r>
        <w:rPr>
          <w:rFonts w:ascii="DejaVu Serif" w:hAnsi="DejaVu Serif" w:eastAsia="Noto Serif CJK SC"/>
          <w:color w:val="000000"/>
          <w:sz w:val="22"/>
        </w:rPr>
        <w:t xml:space="preserve">Initiate review and filing of destination countries;</w:t>
      </w:r>
    </w:p>
    <w:p>
      <w:pPr>
        <w:numPr>
          <w:ilvl w:val="0"/>
          <w:numId w:val="1117"/>
        </w:numPr>
        <w:spacing w:after="120" w:line="312" w:lineRule="auto"/>
      </w:pPr>
      <w:r>
        <w:rPr>
          <w:rFonts w:ascii="DejaVu Serif" w:hAnsi="DejaVu Serif" w:eastAsia="Noto Serif CJK SC"/>
          <w:color w:val="000000"/>
          <w:sz w:val="22"/>
        </w:rPr>
        <w:t xml:space="preserve">Check the validity of all entry and exit documents;</w:t>
      </w:r>
    </w:p>
    <w:p>
      <w:pPr>
        <w:numPr>
          <w:ilvl w:val="0"/>
          <w:numId w:val="1117"/>
        </w:numPr>
        <w:spacing w:after="120" w:line="312" w:lineRule="auto"/>
      </w:pPr>
      <w:r>
        <w:rPr>
          <w:rFonts w:ascii="DejaVu Serif" w:hAnsi="DejaVu Serif" w:eastAsia="Noto Serif CJK SC"/>
          <w:color w:val="000000"/>
          <w:sz w:val="22"/>
        </w:rPr>
        <w:t xml:space="preserve">Confirm that emergency financial channels are unobstructed.</w:t>
      </w:r>
    </w:p>
    <w:p>
      <w:pPr>
        <w:pStyle w:val="FirstParagraph"/>
        <w:spacing w:after="120" w:line="312" w:lineRule="auto"/>
      </w:pPr>
      <w:r>
        <w:rPr>
          <w:rFonts w:ascii="DejaVu Serif" w:hAnsi="DejaVu Serif" w:eastAsia="Noto Serif CJK SC"/>
          <w:color w:val="000000"/>
          <w:sz w:val="22"/>
        </w:rPr>
        <w:t xml:space="preserve">Chapter IV Preventive Migration Plan</w:t>
      </w:r>
    </w:p>
    <w:p>
      <w:pPr>
        <w:pStyle w:val="BodyText"/>
        <w:spacing w:after="120" w:line="312" w:lineRule="auto"/>
      </w:pPr>
      <w:r>
        <w:rPr>
          <w:rFonts w:ascii="DejaVu Serif" w:hAnsi="DejaVu Serif" w:eastAsia="Noto Serif CJK SC"/>
          <w:color w:val="000000"/>
          <w:sz w:val="22"/>
        </w:rPr>
        <w:t xml:space="preserve">Article 9 (Migration Trigger Conditions)</w:t>
      </w:r>
    </w:p>
    <w:p>
      <w:pPr>
        <w:pStyle w:val="BodyText"/>
        <w:spacing w:after="120" w:line="312" w:lineRule="auto"/>
      </w:pPr>
      <w:r>
        <w:rPr>
          <w:rFonts w:ascii="DejaVu Serif" w:hAnsi="DejaVu Serif" w:eastAsia="Noto Serif CJK SC"/>
          <w:color w:val="000000"/>
          <w:sz w:val="22"/>
        </w:rPr>
        <w:t xml:space="preserve">Immediately initiate preventive migration when any of the following conditions are met:</w:t>
      </w:r>
    </w:p>
    <w:p>
      <w:pPr>
        <w:numPr>
          <w:ilvl w:val="0"/>
          <w:numId w:val="1118"/>
        </w:numPr>
        <w:spacing w:after="120" w:line="312" w:lineRule="auto"/>
      </w:pPr>
      <w:r>
        <w:rPr>
          <w:rFonts w:ascii="DejaVu Serif" w:hAnsi="DejaVu Serif" w:eastAsia="Noto Serif CJK SC"/>
          <w:color w:val="000000"/>
          <w:sz w:val="22"/>
        </w:rPr>
        <w:t xml:space="preserve">The government of the country of nationality or country of usual residence issues a war mobilization preliminary order;</w:t>
      </w:r>
    </w:p>
    <w:p>
      <w:pPr>
        <w:numPr>
          <w:ilvl w:val="0"/>
          <w:numId w:val="1118"/>
        </w:numPr>
        <w:spacing w:after="120" w:line="312" w:lineRule="auto"/>
      </w:pPr>
      <w:r>
        <w:rPr>
          <w:rFonts w:ascii="DejaVu Serif" w:hAnsi="DejaVu Serif" w:eastAsia="Noto Serif CJK SC"/>
          <w:color w:val="000000"/>
          <w:sz w:val="22"/>
        </w:rPr>
        <w:t xml:space="preserve">The safe second country announces the suspension of visa issuance to citizens of the country of usual residence;</w:t>
      </w:r>
    </w:p>
    <w:p>
      <w:pPr>
        <w:numPr>
          <w:ilvl w:val="0"/>
          <w:numId w:val="1118"/>
        </w:numPr>
        <w:spacing w:after="120" w:line="312" w:lineRule="auto"/>
      </w:pPr>
      <w:r>
        <w:rPr>
          <w:rFonts w:ascii="DejaVu Serif" w:hAnsi="DejaVu Serif" w:eastAsia="Noto Serif CJK SC"/>
          <w:color w:val="000000"/>
          <w:sz w:val="22"/>
        </w:rPr>
        <w:t xml:space="preserve">Multiple embassies begin to evacuate their nationals.</w:t>
      </w:r>
    </w:p>
    <w:p>
      <w:pPr>
        <w:pStyle w:val="FirstParagraph"/>
        <w:spacing w:after="120" w:line="312" w:lineRule="auto"/>
      </w:pPr>
      <w:r>
        <w:rPr>
          <w:rFonts w:ascii="DejaVu Serif" w:hAnsi="DejaVu Serif" w:eastAsia="Noto Serif CJK SC"/>
          <w:color w:val="000000"/>
          <w:sz w:val="22"/>
        </w:rPr>
        <w:t xml:space="preserve">Article 10 (Destination Selection Priority)</w:t>
      </w:r>
    </w:p>
    <w:p>
      <w:pPr>
        <w:numPr>
          <w:ilvl w:val="0"/>
          <w:numId w:val="1119"/>
        </w:numPr>
        <w:spacing w:after="120" w:line="312" w:lineRule="auto"/>
      </w:pPr>
      <w:r>
        <w:rPr>
          <w:rFonts w:ascii="DejaVu Serif" w:hAnsi="DejaVu Serif" w:eastAsia="Noto Serif CJK SC"/>
          <w:color w:val="000000"/>
          <w:sz w:val="22"/>
        </w:rPr>
        <w:t xml:space="preserve">First-choice countries: Neutral countries with which one already has long-term residence rights, permanent resident status, or visa-free entry and permission for long-term residence;</w:t>
      </w:r>
    </w:p>
    <w:p>
      <w:pPr>
        <w:numPr>
          <w:ilvl w:val="0"/>
          <w:numId w:val="1119"/>
        </w:numPr>
        <w:spacing w:after="120" w:line="312" w:lineRule="auto"/>
      </w:pPr>
      <w:r>
        <w:rPr>
          <w:rFonts w:ascii="DejaVu Serif" w:hAnsi="DejaVu Serif" w:eastAsia="Noto Serif CJK SC"/>
          <w:color w:val="000000"/>
          <w:sz w:val="22"/>
        </w:rPr>
        <w:t xml:space="preserve">Second-choice countries: Non-belligerent countries where work visas, business residence, or investment residence have been obtained, with simplified entry procedures;</w:t>
      </w:r>
    </w:p>
    <w:p>
      <w:pPr>
        <w:numPr>
          <w:ilvl w:val="0"/>
          <w:numId w:val="1119"/>
        </w:numPr>
        <w:spacing w:after="120" w:line="312" w:lineRule="auto"/>
      </w:pPr>
      <w:r>
        <w:rPr>
          <w:rFonts w:ascii="DejaVu Serif" w:hAnsi="DejaVu Serif" w:eastAsia="Noto Serif CJK SC"/>
          <w:color w:val="000000"/>
          <w:sz w:val="22"/>
        </w:rPr>
        <w:t xml:space="preserve">Alternative countries: Countries that offer visa-free/visa-on-arrival entry to Chinese citizens and allow on-site processing of short-term residence extensions.</w:t>
      </w:r>
    </w:p>
    <w:p>
      <w:pPr>
        <w:pStyle w:val="FirstParagraph"/>
        <w:spacing w:after="120" w:line="312" w:lineRule="auto"/>
      </w:pPr>
      <w:r>
        <w:rPr>
          <w:rFonts w:ascii="DejaVu Serif" w:hAnsi="DejaVu Serif" w:eastAsia="Noto Serif CJK SC"/>
          <w:color w:val="000000"/>
          <w:sz w:val="22"/>
        </w:rPr>
        <w:t xml:space="preserve">Article 11 (Migration Procedure)</w:t>
      </w:r>
    </w:p>
    <w:p>
      <w:pPr>
        <w:numPr>
          <w:ilvl w:val="0"/>
          <w:numId w:val="1120"/>
        </w:numPr>
        <w:spacing w:after="120" w:line="312" w:lineRule="auto"/>
      </w:pPr>
      <w:r>
        <w:rPr>
          <w:rFonts w:ascii="DejaVu Serif" w:hAnsi="DejaVu Serif" w:eastAsia="Noto Serif CJK SC"/>
          <w:color w:val="000000"/>
          <w:sz w:val="22"/>
        </w:rPr>
        <w:t xml:space="preserve">Phase I (Preparation Period): Transfer necessary assets to the safe second country and update residence documents for the destination country;</w:t>
      </w:r>
    </w:p>
    <w:p>
      <w:pPr>
        <w:numPr>
          <w:ilvl w:val="0"/>
          <w:numId w:val="1120"/>
        </w:numPr>
        <w:spacing w:after="120" w:line="312" w:lineRule="auto"/>
      </w:pPr>
      <w:r>
        <w:rPr>
          <w:rFonts w:ascii="DejaVu Serif" w:hAnsi="DejaVu Serif" w:eastAsia="Noto Serif CJK SC"/>
          <w:color w:val="000000"/>
          <w:sz w:val="22"/>
        </w:rPr>
        <w:t xml:space="preserve">Phase II (Initiation Period): Book commercial flights or land transportation to the destination country, ensuring at least two viable routes;</w:t>
      </w:r>
    </w:p>
    <w:p>
      <w:pPr>
        <w:numPr>
          <w:ilvl w:val="0"/>
          <w:numId w:val="1120"/>
        </w:numPr>
        <w:spacing w:after="120" w:line="312" w:lineRule="auto"/>
      </w:pPr>
      <w:r>
        <w:rPr>
          <w:rFonts w:ascii="DejaVu Serif" w:hAnsi="DejaVu Serif" w:eastAsia="Noto Serif CJK SC"/>
          <w:color w:val="000000"/>
          <w:sz w:val="22"/>
        </w:rPr>
        <w:t xml:space="preserve">Phase III (Transition Period): Immediately after arrival, register address, register for taxation, and open local bank accounts to establish local legal contact points.</w:t>
      </w:r>
    </w:p>
    <w:p>
      <w:pPr>
        <w:pStyle w:val="FirstParagraph"/>
        <w:spacing w:after="120" w:line="312" w:lineRule="auto"/>
      </w:pPr>
      <w:r>
        <w:rPr>
          <w:rFonts w:ascii="DejaVu Serif" w:hAnsi="DejaVu Serif" w:eastAsia="Noto Serif CJK SC"/>
          <w:color w:val="000000"/>
          <w:sz w:val="22"/>
        </w:rPr>
        <w:t xml:space="preserve">Chapter V Entry, Exit, and Identity Management Plan</w:t>
      </w:r>
    </w:p>
    <w:p>
      <w:pPr>
        <w:pStyle w:val="BodyText"/>
        <w:spacing w:after="120" w:line="312" w:lineRule="auto"/>
      </w:pPr>
      <w:r>
        <w:rPr>
          <w:rFonts w:ascii="DejaVu Serif" w:hAnsi="DejaVu Serif" w:eastAsia="Noto Serif CJK SC"/>
          <w:color w:val="000000"/>
          <w:sz w:val="22"/>
        </w:rPr>
        <w:t xml:space="preserve">Article 12 (Document Preparation)</w:t>
      </w:r>
    </w:p>
    <w:p>
      <w:pPr>
        <w:pStyle w:val="BodyText"/>
        <w:spacing w:after="120" w:line="312" w:lineRule="auto"/>
      </w:pPr>
      <w:r>
        <w:rPr>
          <w:rFonts w:ascii="DejaVu Serif" w:hAnsi="DejaVu Serif" w:eastAsia="Noto Serif CJK SC"/>
          <w:color w:val="000000"/>
          <w:sz w:val="22"/>
        </w:rPr>
        <w:t xml:space="preserve">Keep the following original documents and encrypted electronic copies readily available:</w:t>
      </w:r>
    </w:p>
    <w:p>
      <w:pPr>
        <w:numPr>
          <w:ilvl w:val="0"/>
          <w:numId w:val="1121"/>
        </w:numPr>
        <w:spacing w:after="120" w:line="312" w:lineRule="auto"/>
      </w:pPr>
      <w:r>
        <w:rPr>
          <w:rFonts w:ascii="DejaVu Serif" w:hAnsi="DejaVu Serif" w:eastAsia="Noto Serif CJK SC"/>
          <w:color w:val="000000"/>
          <w:sz w:val="22"/>
        </w:rPr>
        <w:t xml:space="preserve">Current valid passport (at least two legally held passports of different nationalities);</w:t>
      </w:r>
    </w:p>
    <w:p>
      <w:pPr>
        <w:numPr>
          <w:ilvl w:val="0"/>
          <w:numId w:val="1121"/>
        </w:numPr>
        <w:spacing w:after="120" w:line="312" w:lineRule="auto"/>
      </w:pPr>
      <w:r>
        <w:rPr>
          <w:rFonts w:ascii="DejaVu Serif" w:hAnsi="DejaVu Serif" w:eastAsia="Noto Serif CJK SC"/>
          <w:color w:val="000000"/>
          <w:sz w:val="22"/>
        </w:rPr>
        <w:t xml:space="preserve">Residence card, permanent resident certificate, or long-term visa of the destination country;</w:t>
      </w:r>
    </w:p>
    <w:p>
      <w:pPr>
        <w:numPr>
          <w:ilvl w:val="0"/>
          <w:numId w:val="1121"/>
        </w:numPr>
        <w:spacing w:after="120" w:line="312" w:lineRule="auto"/>
      </w:pPr>
      <w:r>
        <w:rPr>
          <w:rFonts w:ascii="DejaVu Serif" w:hAnsi="DejaVu Serif" w:eastAsia="Noto Serif CJK SC"/>
          <w:color w:val="000000"/>
          <w:sz w:val="22"/>
        </w:rPr>
        <w:t xml:space="preserve">Travel documents such as international driver’s license, seafarer’s certificate, and certificate of no criminal record.</w:t>
      </w:r>
    </w:p>
    <w:p>
      <w:pPr>
        <w:pStyle w:val="FirstParagraph"/>
        <w:spacing w:after="120" w:line="312" w:lineRule="auto"/>
      </w:pPr>
      <w:r>
        <w:rPr>
          <w:rFonts w:ascii="DejaVu Serif" w:hAnsi="DejaVu Serif" w:eastAsia="Noto Serif CJK SC"/>
          <w:color w:val="000000"/>
          <w:sz w:val="22"/>
        </w:rPr>
        <w:t xml:space="preserve">Article 13 (Entry and Exit Strategy)</w:t>
      </w:r>
    </w:p>
    <w:p>
      <w:pPr>
        <w:numPr>
          <w:ilvl w:val="0"/>
          <w:numId w:val="1122"/>
        </w:numPr>
        <w:spacing w:after="120" w:line="312" w:lineRule="auto"/>
      </w:pPr>
      <w:r>
        <w:rPr>
          <w:rFonts w:ascii="DejaVu Serif" w:hAnsi="DejaVu Serif" w:eastAsia="Noto Serif CJK SC"/>
          <w:color w:val="000000"/>
          <w:sz w:val="22"/>
        </w:rPr>
        <w:t xml:space="preserve">Prioritize neutral countries with direct air links to Chinese-speaking regions as transit points;</w:t>
      </w:r>
    </w:p>
    <w:p>
      <w:pPr>
        <w:numPr>
          <w:ilvl w:val="0"/>
          <w:numId w:val="1122"/>
        </w:numPr>
        <w:spacing w:after="120" w:line="312" w:lineRule="auto"/>
      </w:pPr>
      <w:r>
        <w:rPr>
          <w:rFonts w:ascii="DejaVu Serif" w:hAnsi="DejaVu Serif" w:eastAsia="Noto Serif CJK SC"/>
          <w:color w:val="000000"/>
          <w:sz w:val="22"/>
        </w:rPr>
        <w:t xml:space="preserve">Avoid flights of airlines from the country of nationality or belligerent countries;</w:t>
      </w:r>
    </w:p>
    <w:p>
      <w:pPr>
        <w:numPr>
          <w:ilvl w:val="0"/>
          <w:numId w:val="1122"/>
        </w:numPr>
        <w:spacing w:after="120" w:line="312" w:lineRule="auto"/>
      </w:pPr>
      <w:r>
        <w:rPr>
          <w:rFonts w:ascii="DejaVu Serif" w:hAnsi="DejaVu Serif" w:eastAsia="Noto Serif CJK SC"/>
          <w:color w:val="000000"/>
          <w:sz w:val="22"/>
        </w:rPr>
        <w:t xml:space="preserve">Provide only the minimum necessary information when entering and exiting, and do not carry any items involving political or military content.</w:t>
      </w:r>
    </w:p>
    <w:p>
      <w:pPr>
        <w:pStyle w:val="FirstParagraph"/>
        <w:spacing w:after="120" w:line="312" w:lineRule="auto"/>
      </w:pPr>
      <w:r>
        <w:rPr>
          <w:rFonts w:ascii="DejaVu Serif" w:hAnsi="DejaVu Serif" w:eastAsia="Noto Serif CJK SC"/>
          <w:color w:val="000000"/>
          <w:sz w:val="22"/>
        </w:rPr>
        <w:t xml:space="preserve">Article 14 (Emergency Contingency Plan)</w:t>
      </w:r>
    </w:p>
    <w:p>
      <w:pPr>
        <w:pStyle w:val="BodyText"/>
        <w:spacing w:after="120" w:line="312" w:lineRule="auto"/>
      </w:pPr>
      <w:r>
        <w:rPr>
          <w:rFonts w:ascii="DejaVu Serif" w:hAnsi="DejaVu Serif" w:eastAsia="Noto Serif CJK SC"/>
          <w:color w:val="000000"/>
          <w:sz w:val="22"/>
        </w:rPr>
        <w:t xml:space="preserve">If commercial transportation is disrupted:</w:t>
      </w:r>
    </w:p>
    <w:p>
      <w:pPr>
        <w:numPr>
          <w:ilvl w:val="0"/>
          <w:numId w:val="1123"/>
        </w:numPr>
        <w:spacing w:after="120" w:line="312" w:lineRule="auto"/>
      </w:pPr>
      <w:r>
        <w:rPr>
          <w:rFonts w:ascii="DejaVu Serif" w:hAnsi="DejaVu Serif" w:eastAsia="Noto Serif CJK SC"/>
          <w:color w:val="000000"/>
          <w:sz w:val="22"/>
        </w:rPr>
        <w:t xml:space="preserve">Contact local diplomatic missions of neutral countries to seek consular assistance;</w:t>
      </w:r>
    </w:p>
    <w:p>
      <w:pPr>
        <w:numPr>
          <w:ilvl w:val="0"/>
          <w:numId w:val="1123"/>
        </w:numPr>
        <w:spacing w:after="120" w:line="312" w:lineRule="auto"/>
      </w:pPr>
      <w:r>
        <w:rPr>
          <w:rFonts w:ascii="DejaVu Serif" w:hAnsi="DejaVu Serif" w:eastAsia="Noto Serif CJK SC"/>
          <w:color w:val="000000"/>
          <w:sz w:val="22"/>
        </w:rPr>
        <w:t xml:space="preserve">Register with the United Nations High Commissioner for Refugees (UNHCR) or the International Committee of the Red Cross as 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conflict-evacuee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p>
    <w:p>
      <w:pPr>
        <w:numPr>
          <w:ilvl w:val="0"/>
          <w:numId w:val="1123"/>
        </w:numPr>
        <w:spacing w:after="120" w:line="312" w:lineRule="auto"/>
      </w:pPr>
      <w:r>
        <w:rPr>
          <w:rFonts w:ascii="DejaVu Serif" w:hAnsi="DejaVu Serif" w:eastAsia="Noto Serif CJK SC"/>
          <w:color w:val="000000"/>
          <w:sz w:val="22"/>
        </w:rPr>
        <w:t xml:space="preserve">Rent private transportation to travel to neighboring countries by land.</w:t>
      </w:r>
    </w:p>
    <w:p>
      <w:pPr>
        <w:pStyle w:val="FirstParagraph"/>
        <w:spacing w:after="120" w:line="312" w:lineRule="auto"/>
      </w:pPr>
      <w:r>
        <w:rPr>
          <w:rFonts w:ascii="DejaVu Serif" w:hAnsi="DejaVu Serif" w:eastAsia="Noto Serif CJK SC"/>
          <w:color w:val="000000"/>
          <w:sz w:val="22"/>
        </w:rPr>
        <w:t xml:space="preserve">Chapter VI International Residence Backup Plan</w:t>
      </w:r>
    </w:p>
    <w:p>
      <w:pPr>
        <w:pStyle w:val="BodyText"/>
        <w:spacing w:after="120" w:line="312" w:lineRule="auto"/>
      </w:pPr>
      <w:r>
        <w:rPr>
          <w:rFonts w:ascii="DejaVu Serif" w:hAnsi="DejaVu Serif" w:eastAsia="Noto Serif CJK SC"/>
          <w:color w:val="000000"/>
          <w:sz w:val="22"/>
        </w:rPr>
        <w:t xml:space="preserve">Article 15 (Residence Tiers)</w:t>
      </w:r>
    </w:p>
    <w:p>
      <w:pPr>
        <w:pStyle w:val="BodyText"/>
        <w:spacing w:after="120" w:line="312" w:lineRule="auto"/>
      </w:pPr>
      <w:r>
        <w:rPr>
          <w:rFonts w:ascii="DejaVu Serif" w:hAnsi="DejaVu Serif" w:eastAsia="Noto Serif CJK SC"/>
          <w:color w:val="000000"/>
          <w:sz w:val="22"/>
        </w:rPr>
        <w:t xml:space="preserve">Establish a three-tier residence backup system:</w:t>
      </w:r>
    </w:p>
    <w:p>
      <w:pPr>
        <w:numPr>
          <w:ilvl w:val="0"/>
          <w:numId w:val="1124"/>
        </w:numPr>
        <w:spacing w:after="120" w:line="312" w:lineRule="auto"/>
      </w:pPr>
      <w:r>
        <w:rPr>
          <w:rFonts w:ascii="DejaVu Serif" w:hAnsi="DejaVu Serif" w:eastAsia="Noto Serif CJK SC"/>
          <w:color w:val="000000"/>
          <w:sz w:val="22"/>
        </w:rPr>
        <w:t xml:space="preserve">First-tier residence: Permanent resident status (green card), long-term business residence;</w:t>
      </w:r>
    </w:p>
    <w:p>
      <w:pPr>
        <w:numPr>
          <w:ilvl w:val="0"/>
          <w:numId w:val="1124"/>
        </w:numPr>
        <w:spacing w:after="120" w:line="312" w:lineRule="auto"/>
      </w:pPr>
      <w:r>
        <w:rPr>
          <w:rFonts w:ascii="DejaVu Serif" w:hAnsi="DejaVu Serif" w:eastAsia="Noto Serif CJK SC"/>
          <w:color w:val="000000"/>
          <w:sz w:val="22"/>
        </w:rPr>
        <w:t xml:space="preserve">Second-tier residence: Work visa, study visa, investment residence (renewable);</w:t>
      </w:r>
    </w:p>
    <w:p>
      <w:pPr>
        <w:numPr>
          <w:ilvl w:val="0"/>
          <w:numId w:val="1124"/>
        </w:numPr>
        <w:spacing w:after="120" w:line="312" w:lineRule="auto"/>
      </w:pPr>
      <w:r>
        <w:rPr>
          <w:rFonts w:ascii="DejaVu Serif" w:hAnsi="DejaVu Serif" w:eastAsia="Noto Serif CJK SC"/>
          <w:color w:val="000000"/>
          <w:sz w:val="22"/>
        </w:rPr>
        <w:t xml:space="preserve">Third-tier residence: Visa-free/visa-on-arrival entry, conversion of tourist visa to humanitarian residence.</w:t>
      </w:r>
    </w:p>
    <w:p>
      <w:pPr>
        <w:pStyle w:val="FirstParagraph"/>
        <w:spacing w:after="120" w:line="312" w:lineRule="auto"/>
      </w:pPr>
      <w:r>
        <w:rPr>
          <w:rFonts w:ascii="DejaVu Serif" w:hAnsi="DejaVu Serif" w:eastAsia="Noto Serif CJK SC"/>
          <w:color w:val="000000"/>
          <w:sz w:val="22"/>
        </w:rPr>
        <w:t xml:space="preserve">Article 16 (Identity Activation Process)</w:t>
      </w:r>
    </w:p>
    <w:p>
      <w:pPr>
        <w:pStyle w:val="BodyText"/>
        <w:spacing w:after="120" w:line="312" w:lineRule="auto"/>
      </w:pPr>
      <w:r>
        <w:rPr>
          <w:rFonts w:ascii="DejaVu Serif" w:hAnsi="DejaVu Serif" w:eastAsia="Noto Serif CJK SC"/>
          <w:color w:val="000000"/>
          <w:sz w:val="22"/>
        </w:rPr>
        <w:t xml:space="preserve">Annually reassess the validity of tiered residence rights to ensure:</w:t>
      </w:r>
    </w:p>
    <w:p>
      <w:pPr>
        <w:numPr>
          <w:ilvl w:val="0"/>
          <w:numId w:val="1125"/>
        </w:numPr>
        <w:spacing w:after="120" w:line="312" w:lineRule="auto"/>
      </w:pPr>
      <w:r>
        <w:rPr>
          <w:rFonts w:ascii="DejaVu Serif" w:hAnsi="DejaVu Serif" w:eastAsia="Noto Serif CJK SC"/>
          <w:color w:val="000000"/>
          <w:sz w:val="22"/>
        </w:rPr>
        <w:t xml:space="preserve">At least two countries’ first-tier residence rights are in valid status;</w:t>
      </w:r>
    </w:p>
    <w:p>
      <w:pPr>
        <w:numPr>
          <w:ilvl w:val="0"/>
          <w:numId w:val="1125"/>
        </w:numPr>
        <w:spacing w:after="120" w:line="312" w:lineRule="auto"/>
      </w:pPr>
      <w:r>
        <w:rPr>
          <w:rFonts w:ascii="DejaVu Serif" w:hAnsi="DejaVu Serif" w:eastAsia="Noto Serif CJK SC"/>
          <w:color w:val="000000"/>
          <w:sz w:val="22"/>
        </w:rPr>
        <w:t xml:space="preserve">Verify changes in visa-free entry policies of countries every quarter.</w:t>
      </w:r>
    </w:p>
    <w:p>
      <w:pPr>
        <w:pStyle w:val="FirstParagraph"/>
        <w:spacing w:after="120" w:line="312" w:lineRule="auto"/>
      </w:pPr>
      <w:r>
        <w:rPr>
          <w:rFonts w:ascii="DejaVu Serif" w:hAnsi="DejaVu Serif" w:eastAsia="Noto Serif CJK SC"/>
          <w:color w:val="000000"/>
          <w:sz w:val="22"/>
        </w:rPr>
        <w:t xml:space="preserve">Chapter VII Special Circumstances Handling</w:t>
      </w:r>
    </w:p>
    <w:p>
      <w:pPr>
        <w:pStyle w:val="BodyText"/>
        <w:spacing w:after="120" w:line="312" w:lineRule="auto"/>
      </w:pPr>
      <w:r>
        <w:rPr>
          <w:rFonts w:ascii="DejaVu Serif" w:hAnsi="DejaVu Serif" w:eastAsia="Noto Serif CJK SC"/>
          <w:color w:val="000000"/>
          <w:sz w:val="22"/>
        </w:rPr>
        <w:t xml:space="preserve">Article 17 (Handling of Country of Nationality Becoming a Belligerent)</w:t>
      </w:r>
    </w:p>
    <w:p>
      <w:pPr>
        <w:pStyle w:val="BodyText"/>
        <w:spacing w:after="120" w:line="312" w:lineRule="auto"/>
      </w:pPr>
      <w:r>
        <w:rPr>
          <w:rFonts w:ascii="DejaVu Serif" w:hAnsi="DejaVu Serif" w:eastAsia="Noto Serif CJK SC"/>
          <w:color w:val="000000"/>
          <w:sz w:val="22"/>
        </w:rPr>
        <w:t xml:space="preserve">If the country of nationality becomes a belligerent:</w:t>
      </w:r>
    </w:p>
    <w:p>
      <w:pPr>
        <w:numPr>
          <w:ilvl w:val="0"/>
          <w:numId w:val="1126"/>
        </w:numPr>
        <w:spacing w:after="120" w:line="312" w:lineRule="auto"/>
      </w:pPr>
      <w:r>
        <w:rPr>
          <w:rFonts w:ascii="DejaVu Serif" w:hAnsi="DejaVu Serif" w:eastAsia="Noto Serif CJK SC"/>
          <w:color w:val="000000"/>
          <w:sz w:val="22"/>
        </w:rPr>
        <w:t xml:space="preserve">Immediately suspend using that country’s passport as the primary travel document;</w:t>
      </w:r>
    </w:p>
    <w:p>
      <w:pPr>
        <w:numPr>
          <w:ilvl w:val="0"/>
          <w:numId w:val="1126"/>
        </w:numPr>
        <w:spacing w:after="120" w:line="312" w:lineRule="auto"/>
      </w:pPr>
      <w:r>
        <w:rPr>
          <w:rFonts w:ascii="DejaVu Serif" w:hAnsi="DejaVu Serif" w:eastAsia="Noto Serif CJK SC"/>
          <w:color w:val="000000"/>
          <w:sz w:val="22"/>
        </w:rPr>
        <w:t xml:space="preserve">Apply for an international travel document through second-country residence status;</w:t>
      </w:r>
    </w:p>
    <w:p>
      <w:pPr>
        <w:numPr>
          <w:ilvl w:val="0"/>
          <w:numId w:val="1126"/>
        </w:numPr>
        <w:spacing w:after="120" w:line="312" w:lineRule="auto"/>
      </w:pPr>
      <w:r>
        <w:rPr>
          <w:rFonts w:ascii="DejaVu Serif" w:hAnsi="DejaVu Serif" w:eastAsia="Noto Serif CJK SC"/>
          <w:color w:val="000000"/>
          <w:sz w:val="22"/>
        </w:rPr>
        <w:t xml:space="preserve">Within the scope permitted by law, initiate nationality change or dual nationality procedures to reduce association risks.</w:t>
      </w:r>
    </w:p>
    <w:p>
      <w:pPr>
        <w:pStyle w:val="FirstParagraph"/>
        <w:spacing w:after="120" w:line="312" w:lineRule="auto"/>
      </w:pPr>
      <w:r>
        <w:rPr>
          <w:rFonts w:ascii="DejaVu Serif" w:hAnsi="DejaVu Serif" w:eastAsia="Noto Serif CJK SC"/>
          <w:color w:val="000000"/>
          <w:sz w:val="22"/>
        </w:rPr>
        <w:t xml:space="preserve">Article 18 (Coverage for Family Members)</w:t>
      </w:r>
    </w:p>
    <w:p>
      <w:pPr>
        <w:pStyle w:val="BodyText"/>
        <w:spacing w:after="120" w:line="312" w:lineRule="auto"/>
      </w:pPr>
      <w:r>
        <w:rPr>
          <w:rFonts w:ascii="DejaVu Serif" w:hAnsi="DejaVu Serif" w:eastAsia="Noto Serif CJK SC"/>
          <w:color w:val="000000"/>
          <w:sz w:val="22"/>
        </w:rPr>
        <w:t xml:space="preserve">Direct family members are covered by these regulations and require prior processing of:</w:t>
      </w:r>
    </w:p>
    <w:p>
      <w:pPr>
        <w:numPr>
          <w:ilvl w:val="0"/>
          <w:numId w:val="1127"/>
        </w:numPr>
        <w:spacing w:after="120" w:line="312" w:lineRule="auto"/>
      </w:pPr>
      <w:r>
        <w:rPr>
          <w:rFonts w:ascii="DejaVu Serif" w:hAnsi="DejaVu Serif" w:eastAsia="Noto Serif CJK SC"/>
          <w:color w:val="000000"/>
          <w:sz w:val="22"/>
        </w:rPr>
        <w:t xml:space="preserve">Notarized and certified proof of family relationship;</w:t>
      </w:r>
    </w:p>
    <w:p>
      <w:pPr>
        <w:numPr>
          <w:ilvl w:val="0"/>
          <w:numId w:val="1127"/>
        </w:numPr>
        <w:spacing w:after="120" w:line="312" w:lineRule="auto"/>
      </w:pPr>
      <w:r>
        <w:rPr>
          <w:rFonts w:ascii="DejaVu Serif" w:hAnsi="DejaVu Serif" w:eastAsia="Noto Serif CJK SC"/>
          <w:color w:val="000000"/>
          <w:sz w:val="22"/>
        </w:rPr>
        <w:t xml:space="preserve">Application for dependent residence status;</w:t>
      </w:r>
    </w:p>
    <w:p>
      <w:pPr>
        <w:numPr>
          <w:ilvl w:val="0"/>
          <w:numId w:val="1127"/>
        </w:numPr>
        <w:spacing w:after="120" w:line="312" w:lineRule="auto"/>
      </w:pPr>
      <w:r>
        <w:rPr>
          <w:rFonts w:ascii="DejaVu Serif" w:hAnsi="DejaVu Serif" w:eastAsia="Noto Serif CJK SC"/>
          <w:color w:val="000000"/>
          <w:sz w:val="22"/>
        </w:rPr>
        <w:t xml:space="preserve">Emergency contact and assembly contingency plans.</w:t>
      </w:r>
    </w:p>
    <w:p>
      <w:pPr>
        <w:pStyle w:val="FirstParagraph"/>
        <w:spacing w:after="120" w:line="312" w:lineRule="auto"/>
      </w:pPr>
      <w:r>
        <w:rPr>
          <w:rFonts w:ascii="DejaVu Serif" w:hAnsi="DejaVu Serif" w:eastAsia="Noto Serif CJK SC"/>
          <w:color w:val="000000"/>
          <w:sz w:val="22"/>
        </w:rPr>
        <w:t xml:space="preserve">Chapter VIII Supplementary Provisions</w:t>
      </w:r>
    </w:p>
    <w:p>
      <w:pPr>
        <w:pStyle w:val="BodyText"/>
        <w:spacing w:after="120" w:line="312" w:lineRule="auto"/>
      </w:pPr>
      <w:r>
        <w:rPr>
          <w:rFonts w:ascii="DejaVu Serif" w:hAnsi="DejaVu Serif" w:eastAsia="Noto Serif CJK SC"/>
          <w:color w:val="000000"/>
          <w:sz w:val="22"/>
        </w:rPr>
        <w:t xml:space="preserve">Article 19 (Regulation Revision)</w:t>
      </w:r>
    </w:p>
    <w:p>
      <w:pPr>
        <w:pStyle w:val="BodyText"/>
        <w:spacing w:after="120" w:line="312" w:lineRule="auto"/>
      </w:pPr>
      <w:r>
        <w:rPr>
          <w:rFonts w:ascii="DejaVu Serif" w:hAnsi="DejaVu Serif" w:eastAsia="Noto Serif CJK SC"/>
          <w:color w:val="000000"/>
          <w:sz w:val="22"/>
        </w:rPr>
        <w:t xml:space="preserve">Annually evaluate and update these regulations based on changes in geopolitical situations, revisions to international law, and adjustments to entry and exit policies.</w:t>
      </w:r>
    </w:p>
    <w:p>
      <w:pPr>
        <w:pStyle w:val="BodyText"/>
        <w:spacing w:after="120" w:line="312" w:lineRule="auto"/>
      </w:pPr>
      <w:r>
        <w:rPr>
          <w:rFonts w:ascii="DejaVu Serif" w:hAnsi="DejaVu Serif" w:eastAsia="Noto Serif CJK SC"/>
          <w:color w:val="000000"/>
          <w:sz w:val="22"/>
        </w:rPr>
        <w:t xml:space="preserve">Article 20 (Effective Date and Interpretation)</w:t>
      </w:r>
    </w:p>
    <w:p>
      <w:pPr>
        <w:pStyle w:val="BodyText"/>
        <w:spacing w:after="120" w:line="312" w:lineRule="auto"/>
      </w:pPr>
      <w:r>
        <w:rPr>
          <w:rFonts w:ascii="DejaVu Serif" w:hAnsi="DejaVu Serif" w:eastAsia="Noto Serif CJK SC"/>
          <w:color w:val="000000"/>
          <w:sz w:val="22"/>
        </w:rPr>
        <w:t xml:space="preserve">These Regulations shall take effect from the date of signature, and the right of interpretation belongs to the Charter-Maker of the Charter of Life Action.</w:t>
      </w:r>
    </w:p>
    <w:p>
      <w:pPr>
        <w:pStyle w:val="BodyText"/>
        <w:spacing w:after="120" w:line="312" w:lineRule="auto"/>
      </w:pPr>
      <w:r>
        <w:rPr>
          <w:rFonts w:ascii="DejaVu Serif" w:hAnsi="DejaVu Serif" w:eastAsia="Noto Serif CJK SC"/>
          <w:color w:val="000000"/>
          <w:sz w:val="22"/>
        </w:rPr>
        <w:t xml:space="preserve">Article 21 (Custody and Backup)</w:t>
      </w:r>
    </w:p>
    <w:p>
      <w:pPr>
        <w:pStyle w:val="BodyText"/>
        <w:spacing w:after="120" w:line="312" w:lineRule="auto"/>
      </w:pPr>
      <w:r>
        <w:rPr>
          <w:rFonts w:ascii="DejaVu Serif" w:hAnsi="DejaVu Serif" w:eastAsia="Noto Serif CJK SC"/>
          <w:color w:val="000000"/>
          <w:sz w:val="22"/>
        </w:rPr>
        <w:t xml:space="preserve">This Regulation is implemented with encrypted storage, and paper copies are held in a safe deposit box at a bank in a second country.</w:t>
      </w:r>
    </w:p>
    <w:p>
      <w:pPr>
        <w:pStyle w:val="BodyText"/>
        <w:spacing w:after="120" w:line="312" w:lineRule="auto"/>
      </w:pPr>
      <w:r>
        <w:rPr>
          <w:rFonts w:ascii="DejaVu Serif" w:hAnsi="DejaVu Serif" w:eastAsia="Noto Serif CJK SC"/>
          <w:color w:val="000000"/>
          <w:sz w:val="22"/>
        </w:rPr>
        <w:t xml:space="preserve">Signing Maker: ____________________ Date: ______ Year ______ Month ______ Day Appendix 1: List of Second Countries for Safety (Dynamically Updated)</w:t>
      </w:r>
    </w:p>
    <w:p>
      <w:pPr>
        <w:pStyle w:val="BodyText"/>
        <w:spacing w:after="120" w:line="312" w:lineRule="auto"/>
      </w:pPr>
      <w:r>
        <w:rPr>
          <w:rFonts w:ascii="DejaVu Serif" w:hAnsi="DejaVu Serif" w:eastAsia="Noto Serif CJK SC"/>
          <w:color w:val="000000"/>
          <w:sz w:val="22"/>
        </w:rPr>
        <w:t xml:space="preserve">Date of Update: ______ Year ______ Month ______ Day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Evaluation Criteria: Neutral nation status, non-NATO member status, absence of extradition treaty (or lax enforcement), convenience of visa-free/visa-on-arrival entry, and level of healthcare and infrastructure.</w:t>
      </w:r>
    </w:p>
    <w:p>
      <w:pPr>
        <w:pStyle w:val="BodyText"/>
        <w:spacing w:after="120" w:line="312" w:lineRule="auto"/>
      </w:pPr>
      <w:r>
        <w:rPr>
          <w:rFonts w:ascii="DejaVu Serif" w:hAnsi="DejaVu Serif" w:eastAsia="Noto Serif CJK SC"/>
          <w:color w:val="000000"/>
          <w:sz w:val="22"/>
        </w:rPr>
        <w:t xml:space="preserve">Priority Country Name Security Attribute Entry/Residence Method Required Documents/Asset Preparation Risk Note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Tier 1 Singapore Permanent Neutrality/ Long-term visa (family Passport, approved EP/ No extradition (core tax Economic Stability office/EP) PR card, local bank account haven) but pro-Western</w:t>
      </w:r>
    </w:p>
    <w:p>
      <w:pPr>
        <w:pStyle w:val="BodyText"/>
        <w:spacing w:after="120" w:line="312" w:lineRule="auto"/>
      </w:pPr>
      <w:r>
        <w:rPr>
          <w:rFonts w:ascii="DejaVu Serif" w:hAnsi="DejaVu Serif" w:eastAsia="Noto Serif CJK SC"/>
          <w:color w:val="000000"/>
          <w:sz w:val="22"/>
        </w:rPr>
        <w:t xml:space="preserve">Risk) requires a low profile.</w:t>
      </w:r>
    </w:p>
    <w:p>
      <w:pPr>
        <w:pStyle w:val="BodyText"/>
        <w:spacing w:after="120" w:line="312" w:lineRule="auto"/>
      </w:pPr>
      <w:r>
        <w:rPr>
          <w:rFonts w:ascii="DejaVu Serif" w:hAnsi="DejaVu Serif" w:eastAsia="Noto Serif CJK SC"/>
          <w:color w:val="000000"/>
          <w:sz w:val="22"/>
        </w:rPr>
        <w:t xml:space="preserve">Tier 1 Switzerland Traditional Neutrality Residence Permit (L/B Passport, Residence Card, Rental Contract Schengen Area,</w:t>
      </w:r>
    </w:p>
    <w:p>
      <w:pPr>
        <w:pStyle w:val="BodyText"/>
        <w:spacing w:after="120" w:line="312" w:lineRule="auto"/>
      </w:pPr>
      <w:r>
        <w:rPr>
          <w:rFonts w:ascii="DejaVu Serif" w:hAnsi="DejaVu Serif" w:eastAsia="Noto Serif CJK SC"/>
          <w:color w:val="000000"/>
          <w:sz w:val="22"/>
        </w:rPr>
        <w:t xml:space="preserve">(Core Avoidance Permit) Contract but strictly observe the risk of neutrality) Establish, do not participate in war.</w:t>
      </w:r>
    </w:p>
    <w:p>
      <w:pPr>
        <w:pStyle w:val="BodyText"/>
        <w:spacing w:after="120" w:line="312" w:lineRule="auto"/>
      </w:pPr>
      <w:r>
        <w:rPr>
          <w:rFonts w:ascii="DejaVu Serif" w:hAnsi="DejaVu Serif" w:eastAsia="Noto Serif CJK SC"/>
          <w:color w:val="000000"/>
          <w:sz w:val="22"/>
        </w:rPr>
        <w:t xml:space="preserve">Tier 2 Malaysia ASEAN member/ MM2H/long-term social Passport, approval letter, return ticket Close proximity,</w:t>
      </w:r>
    </w:p>
    <w:p>
      <w:pPr>
        <w:pStyle w:val="BodyText"/>
        <w:spacing w:after="120" w:line="312" w:lineRule="auto"/>
      </w:pPr>
      <w:r>
        <w:rPr>
          <w:rFonts w:ascii="DejaVu Serif" w:hAnsi="DejaVu Serif" w:eastAsia="Noto Serif CJK SC"/>
          <w:color w:val="000000"/>
          <w:sz w:val="22"/>
        </w:rPr>
        <w:t xml:space="preserve">(Quick adaptation to emergency situations, friendly towards China, visa processing, flight bookings, cultural and dietary transfers)</w:t>
      </w:r>
    </w:p>
    <w:p>
      <w:pPr>
        <w:pStyle w:val="BodyText"/>
        <w:spacing w:after="120" w:line="312" w:lineRule="auto"/>
      </w:pPr>
      <w:r>
        <w:rPr>
          <w:rFonts w:ascii="DejaVu Serif" w:hAnsi="DejaVu Serif" w:eastAsia="Noto Serif CJK SC"/>
          <w:color w:val="000000"/>
          <w:sz w:val="22"/>
        </w:rPr>
        <w:t xml:space="preserve">Low cost.</w:t>
      </w:r>
    </w:p>
    <w:p>
      <w:pPr>
        <w:pStyle w:val="BodyText"/>
        <w:spacing w:after="120" w:line="312" w:lineRule="auto"/>
      </w:pPr>
      <w:r>
        <w:rPr>
          <w:rFonts w:ascii="DejaVu Serif" w:hAnsi="DejaVu Serif" w:eastAsia="Noto Serif CJK SC"/>
          <w:color w:val="000000"/>
          <w:sz w:val="22"/>
        </w:rPr>
        <w:t xml:space="preserve">Tier 2 Thailand Tourism/Retirement Elite Visa/O-A Retirement Passport, visa card, savings Good healthcare,</w:t>
      </w:r>
    </w:p>
    <w:p>
      <w:pPr>
        <w:pStyle w:val="BodyText"/>
        <w:spacing w:after="120" w:line="312" w:lineRule="auto"/>
      </w:pPr>
      <w:r>
        <w:rPr>
          <w:rFonts w:ascii="DejaVu Serif" w:hAnsi="DejaVu Serif" w:eastAsia="Noto Serif CJK SC"/>
          <w:color w:val="000000"/>
          <w:sz w:val="22"/>
        </w:rPr>
        <w:t xml:space="preserve">(Urgently in a favorable position, signed and certified, but the political situation may occasionally shift) There is turbulence.</w:t>
      </w:r>
    </w:p>
    <w:p>
      <w:pPr>
        <w:pStyle w:val="BodyText"/>
        <w:spacing w:after="120" w:line="312" w:lineRule="auto"/>
      </w:pPr>
      <w:r>
        <w:rPr>
          <w:rFonts w:ascii="DejaVu Serif" w:hAnsi="DejaVu Serif" w:eastAsia="Noto Serif CJK SC"/>
          <w:color w:val="000000"/>
          <w:sz w:val="22"/>
        </w:rPr>
        <w:t xml:space="preserve">Suitable for short-term transition.</w:t>
      </w:r>
    </w:p>
    <w:p>
      <w:pPr>
        <w:pStyle w:val="BodyText"/>
        <w:spacing w:after="120" w:line="312" w:lineRule="auto"/>
      </w:pPr>
      <w:r>
        <w:rPr>
          <w:rFonts w:ascii="DejaVu Serif" w:hAnsi="DejaVu Serif" w:eastAsia="Noto Serif CJK SC"/>
          <w:color w:val="000000"/>
          <w:sz w:val="22"/>
        </w:rPr>
        <w:t xml:space="preserve">Tier 3 United Arab Emirates (Dubai) Business Hub/ Visa-Free/Golden Visa Valid passport for more than 6 months/ Free entry and exit,</w:t>
      </w:r>
    </w:p>
    <w:p>
      <w:pPr>
        <w:pStyle w:val="BodyText"/>
        <w:spacing w:after="120" w:line="312" w:lineRule="auto"/>
      </w:pPr>
      <w:r>
        <w:rPr>
          <w:rFonts w:ascii="DejaVu Serif" w:hAnsi="DejaVu Serif" w:eastAsia="Noto Serif CJK SC"/>
          <w:color w:val="000000"/>
          <w:sz w:val="22"/>
        </w:rPr>
        <w:t xml:space="preserve">(Visa-free guarantee and exemption from tax, suitable for the bottom line) for the protection of joint assets.</w:t>
      </w:r>
    </w:p>
    <w:p>
      <w:pPr>
        <w:pStyle w:val="BodyText"/>
        <w:spacing w:after="120" w:line="312" w:lineRule="auto"/>
      </w:pPr>
      <w:r>
        <w:rPr>
          <w:rFonts w:ascii="DejaVu Serif" w:hAnsi="DejaVu Serif" w:eastAsia="Noto Serif CJK SC"/>
          <w:color w:val="000000"/>
          <w:sz w:val="22"/>
        </w:rPr>
        <w:t xml:space="preserve">Tier 3 Serbia Visa-free entry to China / Visa-free entry (30 days) Passport The only European country (visa-free protection European hinterland Visa-free for China,</w:t>
      </w:r>
    </w:p>
    <w:p>
      <w:pPr>
        <w:pStyle w:val="Compact"/>
        <w:numPr>
          <w:ilvl w:val="0"/>
          <w:numId w:val="1128"/>
        </w:numPr>
        <w:spacing w:after="120" w:line="312" w:lineRule="auto"/>
      </w:pPr>
      <w:r>
        <w:rPr>
          <w:rFonts w:ascii="DejaVu Serif" w:hAnsi="DejaVu Serif" w:eastAsia="Noto Serif CJK SC"/>
          <w:color w:val="000000"/>
          <w:sz w:val="22"/>
        </w:rPr>
        <w:t xml:space="preserve">Although near the conflict zone, it is itself neutral.</w:t>
      </w:r>
    </w:p>
    <w:p>
      <w:pPr>
        <w:pStyle w:val="FirstParagraph"/>
        <w:spacing w:after="120" w:line="312" w:lineRule="auto"/>
      </w:pPr>
      <w:r>
        <w:rPr>
          <w:rFonts w:ascii="DejaVu Serif" w:hAnsi="DejaVu Serif" w:eastAsia="Noto Serif CJK SC"/>
          <w:color w:val="000000"/>
          <w:sz w:val="22"/>
        </w:rPr>
        <w:t xml:space="preserve">Tier 3 Turkey Eurasian Hub Electronic Visa (60 days) Passport, printed electronic visa Although the situation is complex, it is suitable as a springboard for going to Europe (with visa exemption conditions).</w:t>
      </w:r>
    </w:p>
    <w:p>
      <w:pPr>
        <w:pStyle w:val="BodyText"/>
        <w:spacing w:after="120" w:line="312" w:lineRule="auto"/>
      </w:pPr>
      <w:r>
        <w:rPr>
          <w:rFonts w:ascii="DejaVu Serif" w:hAnsi="DejaVu Serif" w:eastAsia="Noto Serif CJK SC"/>
          <w:color w:val="000000"/>
          <w:sz w:val="22"/>
        </w:rPr>
        <w:t xml:space="preserve">Annex 2: Emergency Contact Institutions and Contact Information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 Official and International Organizations (for seeking asylum or emergency evacuation)</w:t>
      </w:r>
    </w:p>
    <w:p>
      <w:pPr>
        <w:pStyle w:val="BodyText"/>
        <w:spacing w:after="120" w:line="312" w:lineRule="auto"/>
      </w:pPr>
      <w:r>
        <w:rPr>
          <w:rFonts w:ascii="DejaVu Serif" w:hAnsi="DejaVu Serif" w:eastAsia="Noto Serif CJK SC"/>
          <w:color w:val="000000"/>
          <w:sz w:val="22"/>
        </w:rPr>
        <w:t xml:space="preserve">Organization Name Key Contact/Department Emergency Phone/Code NotesInternational Red Cross East Asia Regional Office +852 2509 4400 (Hong Kong) Wartime protection (ICRC) Civilians, inquiries about missing persons.</w:t>
      </w:r>
    </w:p>
    <w:p>
      <w:pPr>
        <w:pStyle w:val="BodyText"/>
        <w:spacing w:after="120" w:line="312" w:lineRule="auto"/>
      </w:pPr>
      <w:r>
        <w:rPr>
          <w:rFonts w:ascii="DejaVu Serif" w:hAnsi="DejaVu Serif" w:eastAsia="Noto Serif CJK SC"/>
          <w:color w:val="000000"/>
          <w:sz w:val="22"/>
        </w:rPr>
        <w:t xml:space="preserve">United Nations High Commissioner for Refugees Regional Office +852 2848 0100 (Hong Kong) Only apply for refugee status when facing(UNHCR) imminent threat to life.</w:t>
      </w:r>
    </w:p>
    <w:p>
      <w:pPr>
        <w:pStyle w:val="BodyText"/>
        <w:spacing w:after="120" w:line="312" w:lineRule="auto"/>
      </w:pPr>
      <w:r>
        <w:rPr>
          <w:rFonts w:ascii="DejaVu Serif" w:hAnsi="DejaVu Serif" w:eastAsia="Noto Serif CJK SC"/>
          <w:color w:val="000000"/>
          <w:sz w:val="22"/>
        </w:rPr>
        <w:t xml:space="preserve">Doctors Without Borders Emergency Medical Hotline Varies by country For wartime(MS) medical emergencies.</w:t>
      </w:r>
    </w:p>
    <w:p>
      <w:pPr>
        <w:pStyle w:val="BodyText"/>
        <w:spacing w:after="120" w:line="312" w:lineRule="auto"/>
      </w:pPr>
      <w:r>
        <w:rPr>
          <w:rFonts w:ascii="DejaVu Serif" w:hAnsi="DejaVu Serif" w:eastAsia="Noto Serif CJK SC"/>
          <w:color w:val="000000"/>
          <w:sz w:val="22"/>
        </w:rPr>
        <w:t xml:space="preserve">B. Private Rescue and Commercial Services (for paid evacuation)</w:t>
      </w:r>
    </w:p>
    <w:p>
      <w:pPr>
        <w:pStyle w:val="BodyText"/>
        <w:spacing w:after="120" w:line="312" w:lineRule="auto"/>
      </w:pPr>
      <w:r>
        <w:rPr>
          <w:rFonts w:ascii="DejaVu Serif" w:hAnsi="DejaVu Serif" w:eastAsia="Noto Serif CJK SC"/>
          <w:color w:val="000000"/>
          <w:sz w:val="22"/>
        </w:rPr>
        <w:t xml:space="preserve">Organization Type Service Provider Name 24H Emergency Hotline Service ContentInternational SOS Member Service Center +65 6415 9800 (Asia) Medical evacuation, political risk(International evacuation, security advicSOS) e.</w:t>
      </w:r>
    </w:p>
    <w:p>
      <w:pPr>
        <w:pStyle w:val="BodyText"/>
        <w:spacing w:after="120" w:line="312" w:lineRule="auto"/>
      </w:pPr>
      <w:r>
        <w:rPr>
          <w:rFonts w:ascii="DejaVu Serif" w:hAnsi="DejaVu Serif" w:eastAsia="Noto Serif CJK SC"/>
          <w:color w:val="000000"/>
          <w:sz w:val="22"/>
        </w:rPr>
        <w:t xml:space="preserve">Private Security Company [Fill in your contracted company] [Fill in dedicated hotline] Land escort, safe house arrangements.</w:t>
      </w:r>
    </w:p>
    <w:p>
      <w:pPr>
        <w:pStyle w:val="BodyText"/>
        <w:spacing w:after="120" w:line="312" w:lineRule="auto"/>
      </w:pPr>
      <w:r>
        <w:rPr>
          <w:rFonts w:ascii="DejaVu Serif" w:hAnsi="DejaVu Serif" w:eastAsia="Noto Serif CJK SC"/>
          <w:color w:val="000000"/>
          <w:sz w:val="22"/>
        </w:rPr>
        <w:t xml:space="preserve">Overseas Law Firm [Fill in lawyer’s name] [Fill in WhatsApp/phone] Provide local legal asylum, asset freeze response.</w:t>
      </w:r>
    </w:p>
    <w:p>
      <w:pPr>
        <w:pStyle w:val="BodyText"/>
        <w:spacing w:after="120" w:line="312" w:lineRule="auto"/>
      </w:pPr>
      <w:r>
        <w:rPr>
          <w:rFonts w:ascii="DejaVu Serif" w:hAnsi="DejaVu Serif" w:eastAsia="Noto Serif CJK SC"/>
          <w:color w:val="000000"/>
          <w:sz w:val="22"/>
        </w:rPr>
        <w:t xml:space="preserve">C. Core Interpersonal Network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Dead Drop</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Contacts)</w:t>
      </w:r>
    </w:p>
    <w:p>
      <w:pPr>
        <w:pStyle w:val="BodyText"/>
        <w:spacing w:after="120" w:line="312" w:lineRule="auto"/>
      </w:pPr>
      <w:r>
        <w:rPr>
          <w:rFonts w:ascii="DejaVu Serif" w:hAnsi="DejaVu Serif" w:eastAsia="Noto Serif CJK SC"/>
          <w:color w:val="000000"/>
          <w:sz w:val="22"/>
        </w:rPr>
        <w:t xml:space="preserve">Relationship Name Backup Phone/Encrypted Communication ID Authorization InstructionsFirst Contact (Signal/ Power of Attorney with full authority to handle assets and legal affairs.</w:t>
      </w:r>
    </w:p>
    <w:p>
      <w:pPr>
        <w:pStyle w:val="BodyText"/>
        <w:spacing w:after="120" w:line="312" w:lineRule="auto"/>
      </w:pPr>
      <w:r>
        <w:rPr>
          <w:rFonts w:ascii="DejaVu Serif" w:hAnsi="DejaVu Serif" w:eastAsia="Noto Serif CJK SC"/>
          <w:color w:val="000000"/>
          <w:sz w:val="22"/>
        </w:rPr>
        <w:t xml:space="preserve">Person (spouse/ WhatsAppdirect relative) ID)Oversees (Telegram Only initiate search procedure after being out of contact for more than 72 hours.</w:t>
      </w:r>
    </w:p>
    <w:p>
      <w:pPr>
        <w:pStyle w:val="BodyText"/>
        <w:spacing w:after="120" w:line="312" w:lineRule="auto"/>
      </w:pPr>
      <w:r>
        <w:rPr>
          <w:rFonts w:ascii="DejaVu Serif" w:hAnsi="DejaVu Serif" w:eastAsia="Noto Serif CJK SC"/>
          <w:color w:val="000000"/>
          <w:sz w:val="22"/>
        </w:rPr>
        <w:t xml:space="preserve">Trustee (overseas ID)Friend (overseas ID)Appendix 3: List of Essential Documents and Storage Location DiagramPrinciple: Originals never leave your person, copies stored in different locations, encrypted backup in the cloud.</w:t>
      </w:r>
    </w:p>
    <w:p>
      <w:pPr>
        <w:pStyle w:val="BodyText"/>
        <w:spacing w:after="120" w:line="312" w:lineRule="auto"/>
      </w:pPr>
      <w:r>
        <w:rPr>
          <w:rFonts w:ascii="DejaVu Serif" w:hAnsi="DejaVu Serif" w:eastAsia="Noto Serif CJK SC"/>
          <w:color w:val="000000"/>
          <w:sz w:val="22"/>
        </w:rPr>
        <w:t xml:space="preserve">A. Core Document List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Grab Bag</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1. Identification Documents: - Passport originals (main and backup passports) - Original ID card - Original driver’s license (and International Driving Permit IDP)</w:t>
      </w:r>
    </w:p>
    <w:p>
      <w:pPr>
        <w:pStyle w:val="Compact"/>
        <w:numPr>
          <w:ilvl w:val="0"/>
          <w:numId w:val="1129"/>
        </w:numPr>
        <w:spacing w:after="120" w:line="312" w:lineRule="auto"/>
      </w:pPr>
      <w:r>
        <w:rPr>
          <w:rFonts w:ascii="DejaVu Serif" w:hAnsi="DejaVu Serif" w:eastAsia="Noto Serif CJK SC"/>
          <w:color w:val="000000"/>
          <w:sz w:val="22"/>
        </w:rPr>
        <w:t xml:space="preserve">Proof of Ownership: - Photocopy of property registration certificate (with official seal) - Photocopy of vehicle registration certificate3. Financial Assets: - Bank cards/credit cards (ensure overseas usability) - Private keys/mnemonic phrases for cryptocurrency (paper version, electronic versions strictly prohibited) - Bank deposit certificates4. Legal Documents: - Birth certificate, marriage certificate (notarized and certified for foreign use) - Power of Attorney (POA)</w:t>
      </w:r>
    </w:p>
    <w:p>
      <w:pPr>
        <w:pStyle w:val="FirstParagraph"/>
        <w:spacing w:after="120" w:line="312" w:lineRule="auto"/>
      </w:pPr>
      <w:r>
        <w:rPr>
          <w:rFonts w:ascii="DejaVu Serif" w:hAnsi="DejaVu Serif" w:eastAsia="Noto Serif CJK SC"/>
          <w:color w:val="000000"/>
          <w:sz w:val="22"/>
        </w:rPr>
        <w:t xml:space="preserve">B. Storage MatrixStorage Location Document Types Included Access Method Security AssessmentOn-person/Safe Box Originals: Passport, ID card, cash, 24-hour on-person carry Highest (always available)</w:t>
      </w:r>
    </w:p>
    <w:p>
      <w:pPr>
        <w:pStyle w:val="BodyText"/>
        <w:spacing w:after="120" w:line="312" w:lineRule="auto"/>
      </w:pPr>
      <w:r>
        <w:rPr>
          <w:rFonts w:ascii="DejaVu Serif" w:hAnsi="DejaVu Serif" w:eastAsia="Noto Serif CJK SC"/>
          <w:color w:val="000000"/>
          <w:sz w:val="22"/>
        </w:rPr>
        <w:t xml:space="preserve">cards, credit cards or hotel safe boxPermanent Home Study Copies: Paper copies of all documents Key/password Medium (requires advance retrieval)</w:t>
      </w:r>
    </w:p>
    <w:p>
      <w:pPr>
        <w:pStyle w:val="BodyText"/>
        <w:spacing w:after="120" w:line="312" w:lineRule="auto"/>
      </w:pPr>
      <w:r>
        <w:rPr>
          <w:rFonts w:ascii="DejaVu Serif" w:hAnsi="DejaVu Serif" w:eastAsia="Noto Serif CJK SC"/>
          <w:color w:val="000000"/>
          <w:sz w:val="22"/>
        </w:rPr>
        <w:t xml:space="preserve">Printed copies, scanned copies, optical discs, cloud encrypted drives Electronic scans: all files with strong passwords + double verification High (physical isolation, requires network)</w:t>
      </w:r>
    </w:p>
    <w:p>
      <w:pPr>
        <w:pStyle w:val="BodyText"/>
        <w:spacing w:after="120" w:line="312" w:lineRule="auto"/>
      </w:pPr>
      <w:r>
        <w:rPr>
          <w:rFonts w:ascii="DejaVu Serif" w:hAnsi="DejaVu Serif" w:eastAsia="Noto Serif CJK SC"/>
          <w:color w:val="000000"/>
          <w:sz w:val="22"/>
        </w:rPr>
        <w:t xml:space="preserve">Overseas safe deposit box Core original documents: backup passport, property title, notarized documents Located in a safe second country Extremely high (physical isolation, wartime retrieval requires first arriving in that country)</w:t>
      </w:r>
    </w:p>
    <w:p>
      <w:pPr>
        <w:pStyle w:val="BodyText"/>
        <w:spacing w:after="120" w:line="312" w:lineRule="auto"/>
      </w:pPr>
      <w:r>
        <w:rPr>
          <w:rFonts w:ascii="DejaVu Serif" w:hAnsi="DejaVu Serif" w:eastAsia="Noto Serif CJK SC"/>
          <w:color w:val="000000"/>
          <w:sz w:val="22"/>
        </w:rPr>
        <w:t xml:space="preserve">Bank C. Storage Location Diagram (Text Version) 1.</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Go Bag</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Placed in the second layer of the entryway cabinet, containing 3 days of change of clothes, original core documents, $5000 in cash, power bank.</w:t>
      </w:r>
    </w:p>
    <w:p>
      <w:pPr>
        <w:numPr>
          <w:ilvl w:val="0"/>
          <w:numId w:val="1130"/>
        </w:numPr>
        <w:spacing w:after="120" w:line="312" w:lineRule="auto"/>
      </w:pPr>
      <w:r>
        <w:rPr>
          <w:rFonts w:ascii="DejaVu Serif" w:hAnsi="DejaVu Serif" w:eastAsia="Noto Serif CJK SC"/>
          <w:color w:val="000000"/>
          <w:sz w:val="22"/>
        </w:rPr>
        <w:t xml:space="preserve">“</w:t>
      </w:r>
      <w:r>
        <w:rPr>
          <w:rFonts w:ascii="DejaVu Serif" w:hAnsi="DejaVu Serif" w:eastAsia="Noto Serif CJK SC"/>
          <w:color w:val="000000"/>
          <w:sz w:val="22"/>
        </w:rPr>
        <w:t xml:space="preserve">Backup Hard Drive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Placed in the hidden compartment of the office desk drawer, containing all encrypted data backups.</w:t>
      </w:r>
    </w:p>
    <w:p>
      <w:pPr>
        <w:numPr>
          <w:ilvl w:val="0"/>
          <w:numId w:val="1130"/>
        </w:numPr>
        <w:spacing w:after="120" w:line="312" w:lineRule="auto"/>
      </w:pPr>
      <w:r>
        <w:rPr>
          <w:rFonts w:ascii="DejaVu Serif" w:hAnsi="DejaVu Serif" w:eastAsia="Noto Serif CJK SC"/>
          <w:color w:val="000000"/>
          <w:sz w:val="22"/>
        </w:rPr>
        <w:t xml:space="preserve">“</w:t>
      </w:r>
      <w:r>
        <w:rPr>
          <w:rFonts w:ascii="DejaVu Serif" w:hAnsi="DejaVu Serif" w:eastAsia="Noto Serif CJK SC"/>
          <w:color w:val="000000"/>
          <w:sz w:val="22"/>
        </w:rPr>
        <w:t xml:space="preserve">Overseas Base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Located in the safe deposit box of [Bank Name] in [City], [Country], storing second nationality passport and asset proof.</w:t>
      </w:r>
    </w:p>
    <w:p>
      <w:pPr>
        <w:spacing w:after="120" w:line="312" w:lineRule="auto"/>
      </w:pPr>
      <w:r>
        <w:rPr>
          <w:rFonts w:ascii="DejaVu Serif" w:hAnsi="DejaVu Serif" w:eastAsia="Noto Serif CJK SC"/>
          <w:color w:val="000000"/>
          <w:sz w:val="22"/>
        </w:rPr>
        <w:pict>
          <v:rect style="width:0;height:1.5pt" o:hralign="center" o:hrstd="t" o:hr="t"/>
        </w:pict>
      </w:r>
    </w:p>
    <w:bookmarkEnd w:id="262"/>
    <w:bookmarkEnd w:id="263"/>
    <w:bookmarkStart w:id="265" w:name="series-e-identity-construction"/>
    <w:p>
      <w:pPr>
        <w:pStyle w:val="Heading2"/>
        <w:spacing w:after="160" w:line="312" w:lineRule="auto"/>
        <w:jc w:val="left"/>
      </w:pPr>
      <w:r>
        <w:rPr>
          <w:rFonts w:ascii="DejaVu Serif" w:hAnsi="DejaVu Serif" w:eastAsia="Noto Serif CJK SC"/>
          <w:color w:val="000000"/>
          <w:sz w:val="30"/>
        </w:rPr>
        <w:t xml:space="preserve">Series E · Identity Construction</w:t>
      </w:r>
    </w:p>
    <w:bookmarkStart w:id="264" w:name="X6d01affedc654a45ee286703a00b97493a3f2fd"/>
    <w:p>
      <w:pPr>
        <w:pStyle w:val="Heading3"/>
        <w:spacing w:after="120" w:line="312" w:lineRule="auto"/>
        <w:jc w:val="left"/>
      </w:pPr>
      <w:r>
        <w:rPr>
          <w:rFonts w:ascii="DejaVu Serif" w:hAnsi="DejaVu Serif" w:eastAsia="Noto Serif CJK SC"/>
          <w:color w:val="000000"/>
          <w:sz w:val="26"/>
        </w:rPr>
        <w:t xml:space="preserve">Annex E.01.001　</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Amendment to Articles 18 and 19 of the Charter of Life Action</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(Verbatim Full Text)</w:t>
      </w:r>
    </w:p>
    <w:p>
      <w:pPr>
        <w:pStyle w:val="FirstParagraph"/>
        <w:spacing w:after="120" w:line="312" w:lineRule="auto"/>
      </w:pPr>
      <w:r>
        <w:rPr>
          <w:rFonts w:ascii="DejaVu Serif" w:hAnsi="DejaVu Serif" w:eastAsia="Noto Serif CJK SC"/>
          <w:color w:val="000000"/>
          <w:sz w:val="22"/>
        </w:rPr>
        <w:t xml:space="preserve">【Verbatim Full Text】</w:t>
      </w:r>
    </w:p>
    <w:p>
      <w:pPr>
        <w:pStyle w:val="BodyText"/>
        <w:spacing w:after="120" w:line="312" w:lineRule="auto"/>
      </w:pPr>
      <w:r>
        <w:rPr>
          <w:rFonts w:ascii="DejaVu Serif" w:hAnsi="DejaVu Serif" w:eastAsia="Noto Serif CJK SC"/>
          <w:color w:val="000000"/>
          <w:sz w:val="22"/>
        </w:rPr>
        <w:t xml:space="preserve">Amendment to Articles 18 and 19 of the Charter of Life Action In order to adapt to practical feedback, after review and decision by the Charter-Maker, the following modifications are made to Articles 18 and 19 of the original text of the Charter of Life Action:</w:t>
      </w:r>
    </w:p>
    <w:p>
      <w:pPr>
        <w:pStyle w:val="BodyText"/>
        <w:spacing w:after="120" w:line="312" w:lineRule="auto"/>
      </w:pPr>
      <w:r>
        <w:rPr>
          <w:rFonts w:ascii="DejaVu Serif" w:hAnsi="DejaVu Serif" w:eastAsia="Noto Serif CJK SC"/>
          <w:color w:val="000000"/>
          <w:sz w:val="22"/>
        </w:rPr>
        <w:t xml:space="preserve">Article 1 The amendment to Article 18 shall modify Article 18 from</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shall ensure that the average daily cash flow is not less than USD 45 (CNY 300 CHF 45 EUR 45 NZD 73), and this average shall not be less than USD 45</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to:</w:t>
      </w:r>
    </w:p>
    <w:p>
      <w:pPr>
        <w:pStyle w:val="BodyText"/>
        <w:spacing w:after="120" w:line="312" w:lineRule="auto"/>
      </w:pP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average daily cash flow shall be maintained within the range of CNY 175 to 300 (USD 26 to 45, CHF 26 to 48, EUR 22 to 45, NZD 43 to 73), with an average of no less than CNY 200 (USD 30, CHF 30, EUR 25, NZD 49).</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The warning line set forth in the original Article (USD 50 / CNY 335) remains in effect.</w:t>
      </w:r>
    </w:p>
    <w:p>
      <w:pPr>
        <w:pStyle w:val="BodyText"/>
        <w:spacing w:after="120" w:line="312" w:lineRule="auto"/>
      </w:pPr>
      <w:r>
        <w:rPr>
          <w:rFonts w:ascii="DejaVu Serif" w:hAnsi="DejaVu Serif" w:eastAsia="Noto Serif CJK SC"/>
          <w:color w:val="000000"/>
          <w:sz w:val="22"/>
        </w:rPr>
        <w:t xml:space="preserve">Article 2 The amendment to Article 19 shall amend the phrase in Article 19</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shall ensure that after the establishment of the venture, they hold in hand a cash reserve of no less than 300,000 RMB or an equivalent or greater amount in foreign currency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to:</w:t>
      </w:r>
    </w:p>
    <w:p>
      <w:pPr>
        <w:pStyle w:val="BodyText"/>
        <w:spacing w:after="120" w:line="312" w:lineRule="auto"/>
      </w:pPr>
      <w:r>
        <w:rPr>
          <w:rFonts w:ascii="DejaVu Serif" w:hAnsi="DejaVu Serif" w:eastAsia="Noto Serif CJK SC"/>
          <w:color w:val="000000"/>
          <w:sz w:val="22"/>
        </w:rPr>
        <w:t xml:space="preserve">A cash reserve of RMB 100,000 to 150,000 or an equivalent amount in foreign currency shall be held on hand after the establishment of the partnership.</w:t>
      </w:r>
    </w:p>
    <w:p>
      <w:pPr>
        <w:pStyle w:val="BodyText"/>
        <w:spacing w:after="120" w:line="312" w:lineRule="auto"/>
      </w:pPr>
      <w:r>
        <w:rPr>
          <w:rFonts w:ascii="DejaVu Serif" w:hAnsi="DejaVu Serif" w:eastAsia="Noto Serif CJK SC"/>
          <w:color w:val="000000"/>
          <w:sz w:val="22"/>
        </w:rPr>
        <w:t xml:space="preserve">Article 3. Right of Interpretation The right of final interpretation of this Rectification Bill shall belong to the Charter-Maker.</w:t>
      </w:r>
    </w:p>
    <w:p>
      <w:pPr>
        <w:pStyle w:val="BodyText"/>
        <w:spacing w:after="120" w:line="312" w:lineRule="auto"/>
      </w:pPr>
      <w:r>
        <w:rPr>
          <w:rFonts w:ascii="DejaVu Serif" w:hAnsi="DejaVu Serif" w:eastAsia="Noto Serif CJK SC"/>
          <w:color w:val="000000"/>
          <w:sz w:val="22"/>
        </w:rPr>
        <w:t xml:space="preserve">Article 4 Retroactive Effect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provisions of this Rectification Bill shall have retroactive effect on acts or states that occurred before and continued after the date of enforcement of this Rectification Bill (February 8, 2026). Specifically, for any documents or arrangements signed, confirmed, or ratified in any form after the enforcement date of this Rectification Bill, if their date is later than February 8, 2026, the financial standards involved therein shall be subject to the provisions adjusted by this Rectification Bill with retroactive effect.</w:t>
      </w:r>
    </w:p>
    <w:p>
      <w:pPr>
        <w:pStyle w:val="BodyText"/>
        <w:spacing w:after="120" w:line="312" w:lineRule="auto"/>
      </w:pPr>
      <w:r>
        <w:rPr>
          <w:rFonts w:ascii="DejaVu Serif" w:hAnsi="DejaVu Serif" w:eastAsia="Noto Serif CJK SC"/>
          <w:color w:val="000000"/>
          <w:sz w:val="22"/>
        </w:rPr>
        <w:t xml:space="preserve">Article 5 Effective Date This Rectification Bill shall come into effect on February 8, 2026.</w:t>
      </w:r>
    </w:p>
    <w:p>
      <w:pPr>
        <w:pStyle w:val="BodyText"/>
        <w:spacing w:after="120" w:line="312" w:lineRule="auto"/>
      </w:pPr>
      <w:r>
        <w:rPr>
          <w:rFonts w:ascii="DejaVu Serif" w:hAnsi="DejaVu Serif" w:eastAsia="Noto Serif CJK SC"/>
          <w:color w:val="000000"/>
          <w:sz w:val="22"/>
        </w:rPr>
        <w:t xml:space="preserve">Charter-Maker deliberation and signature:</w:t>
      </w:r>
    </w:p>
    <w:p>
      <w:pPr>
        <w:spacing w:after="120" w:line="312" w:lineRule="auto"/>
      </w:pPr>
      <w:r>
        <w:rPr>
          <w:rFonts w:ascii="DejaVu Serif" w:hAnsi="DejaVu Serif" w:eastAsia="Noto Serif CJK SC"/>
          <w:color w:val="000000"/>
          <w:sz w:val="22"/>
        </w:rPr>
        <w:pict>
          <v:rect style="width:0;height:1.5pt" o:hralign="center" o:hrstd="t" o:hr="t"/>
        </w:pict>
      </w:r>
    </w:p>
    <w:bookmarkEnd w:id="264"/>
    <w:bookmarkEnd w:id="265"/>
    <w:bookmarkStart w:id="267" w:name="series-f-interpersonal-relationships"/>
    <w:p>
      <w:pPr>
        <w:pStyle w:val="Heading2"/>
        <w:spacing w:after="160" w:line="312" w:lineRule="auto"/>
        <w:jc w:val="left"/>
      </w:pPr>
      <w:r>
        <w:rPr>
          <w:rFonts w:ascii="DejaVu Serif" w:hAnsi="DejaVu Serif" w:eastAsia="Noto Serif CJK SC"/>
          <w:color w:val="000000"/>
          <w:sz w:val="30"/>
        </w:rPr>
        <w:t xml:space="preserve">Series F · Interpersonal Relationships</w:t>
      </w:r>
    </w:p>
    <w:bookmarkStart w:id="266" w:name="X366ba705218dd8a797d84e78eee7ae94d386fd9"/>
    <w:p>
      <w:pPr>
        <w:pStyle w:val="Heading3"/>
        <w:spacing w:after="120" w:line="312" w:lineRule="auto"/>
        <w:jc w:val="left"/>
      </w:pPr>
      <w:r>
        <w:rPr>
          <w:rFonts w:ascii="DejaVu Serif" w:hAnsi="DejaVu Serif" w:eastAsia="Noto Serif CJK SC"/>
          <w:color w:val="000000"/>
          <w:sz w:val="26"/>
        </w:rPr>
        <w:t xml:space="preserve">Annex F.01.001　</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Rules for Peaceful Coexistence and Win-Win Cooperation with Soulmates, Close Friends, and Ally-Type Relationship Personnel</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(Verbatim Full Text)</w:t>
      </w:r>
    </w:p>
    <w:p>
      <w:pPr>
        <w:pStyle w:val="FirstParagraph"/>
        <w:spacing w:after="120" w:line="312" w:lineRule="auto"/>
      </w:pPr>
      <w:r>
        <w:rPr>
          <w:rFonts w:ascii="DejaVu Serif" w:hAnsi="DejaVu Serif" w:eastAsia="Noto Serif CJK SC"/>
          <w:color w:val="000000"/>
          <w:sz w:val="22"/>
        </w:rPr>
        <w:t xml:space="preserve">【Verbatim Full Text】</w:t>
      </w:r>
    </w:p>
    <w:p>
      <w:pPr>
        <w:pStyle w:val="BodyText"/>
        <w:spacing w:after="120" w:line="312" w:lineRule="auto"/>
      </w:pPr>
      <w:r>
        <w:rPr>
          <w:rFonts w:ascii="DejaVu Serif" w:hAnsi="DejaVu Serif" w:eastAsia="Noto Serif CJK SC"/>
          <w:color w:val="000000"/>
          <w:sz w:val="22"/>
        </w:rPr>
        <w:t xml:space="preserve">Annex F.01.001 Rules for Peaceful Coexistence and Win-Win Cooperation with Soulmates, Close Friends, and Ally-Type Relationship Personnel</w:t>
      </w:r>
    </w:p>
    <w:p>
      <w:pPr>
        <w:pStyle w:val="BodyText"/>
        <w:spacing w:after="120" w:line="312" w:lineRule="auto"/>
      </w:pPr>
      <w:r>
        <w:rPr>
          <w:rFonts w:ascii="DejaVu Serif" w:hAnsi="DejaVu Serif" w:eastAsia="Noto Serif CJK SC"/>
          <w:color w:val="000000"/>
          <w:sz w:val="22"/>
        </w:rPr>
        <w:t xml:space="preserve">Article 1 Purpose and Principles The purpose of these rules is to clarify the rights and obligations between soulmates, close friends, and confidants, to promote mutual understanding and respect, in order to achieve a state of peaceful coexistence and win-win cooperation.</w:t>
      </w:r>
    </w:p>
    <w:p>
      <w:pPr>
        <w:pStyle w:val="BodyText"/>
        <w:spacing w:after="120" w:line="312" w:lineRule="auto"/>
      </w:pPr>
      <w:r>
        <w:rPr>
          <w:rFonts w:ascii="DejaVu Serif" w:hAnsi="DejaVu Serif" w:eastAsia="Noto Serif CJK SC"/>
          <w:color w:val="000000"/>
          <w:sz w:val="22"/>
        </w:rPr>
        <w:t xml:space="preserve">Article 2 Scope of Application These rules apply to all relationship personnel recognized by myself as soulmates, close friends, or confidants, regardless of their gender, age, race, or cultural background in interpersonal activities with me.</w:t>
      </w:r>
    </w:p>
    <w:p>
      <w:pPr>
        <w:pStyle w:val="BodyText"/>
        <w:spacing w:after="120" w:line="312" w:lineRule="auto"/>
      </w:pPr>
      <w:r>
        <w:rPr>
          <w:rFonts w:ascii="DejaVu Serif" w:hAnsi="DejaVu Serif" w:eastAsia="Noto Serif CJK SC"/>
          <w:color w:val="000000"/>
          <w:sz w:val="22"/>
        </w:rPr>
        <w:t xml:space="preserve">Article 3 Mutual Respect Each relationship personnel shall respect the personality, interests, opinions, and needs of others, avoiding any form of discrimination and prejudice.</w:t>
      </w:r>
    </w:p>
    <w:p>
      <w:pPr>
        <w:pStyle w:val="BodyText"/>
        <w:spacing w:after="120" w:line="312" w:lineRule="auto"/>
      </w:pPr>
      <w:r>
        <w:rPr>
          <w:rFonts w:ascii="DejaVu Serif" w:hAnsi="DejaVu Serif" w:eastAsia="Noto Serif CJK SC"/>
          <w:color w:val="000000"/>
          <w:sz w:val="22"/>
        </w:rPr>
        <w:t xml:space="preserve">Article 4 Protection of Privacy Rights Relationship personnel shall respect the privacy of the other party and shall not disclose or discuss the other party’s private information without permission.</w:t>
      </w:r>
    </w:p>
    <w:p>
      <w:pPr>
        <w:pStyle w:val="BodyText"/>
        <w:spacing w:after="120" w:line="312" w:lineRule="auto"/>
      </w:pPr>
      <w:r>
        <w:rPr>
          <w:rFonts w:ascii="DejaVu Serif" w:hAnsi="DejaVu Serif" w:eastAsia="Noto Serif CJK SC"/>
          <w:color w:val="000000"/>
          <w:sz w:val="22"/>
        </w:rPr>
        <w:t xml:space="preserve">Article 5 Open Communication Relationship personnel are encouraged to engage in open, honest, and constructive communication with each other to enhance mutual understanding.</w:t>
      </w:r>
    </w:p>
    <w:p>
      <w:pPr>
        <w:pStyle w:val="BodyText"/>
        <w:spacing w:after="120" w:line="312" w:lineRule="auto"/>
      </w:pPr>
      <w:r>
        <w:rPr>
          <w:rFonts w:ascii="DejaVu Serif" w:hAnsi="DejaVu Serif" w:eastAsia="Noto Serif CJK SC"/>
          <w:color w:val="000000"/>
          <w:sz w:val="22"/>
        </w:rPr>
        <w:t xml:space="preserve">Article 6 Listening and Support Relationship personnel should listen to each other, provide emotional support and practical assistance, especially when the other party encounters difficulties.</w:t>
      </w:r>
    </w:p>
    <w:p>
      <w:pPr>
        <w:pStyle w:val="BodyText"/>
        <w:spacing w:after="120" w:line="312" w:lineRule="auto"/>
      </w:pPr>
      <w:r>
        <w:rPr>
          <w:rFonts w:ascii="DejaVu Serif" w:hAnsi="DejaVu Serif" w:eastAsia="Noto Serif CJK SC"/>
          <w:color w:val="000000"/>
          <w:sz w:val="22"/>
        </w:rPr>
        <w:t xml:space="preserve">Article 7 Encouragement of Personal Development Relationship personnel should support each other in pursuing personal growth and development, including in career, education, and personal interests.</w:t>
      </w:r>
    </w:p>
    <w:p>
      <w:pPr>
        <w:pStyle w:val="BodyText"/>
        <w:spacing w:after="120" w:line="312" w:lineRule="auto"/>
      </w:pPr>
      <w:r>
        <w:rPr>
          <w:rFonts w:ascii="DejaVu Serif" w:hAnsi="DejaVu Serif" w:eastAsia="Noto Serif CJK SC"/>
          <w:color w:val="000000"/>
          <w:sz w:val="22"/>
        </w:rPr>
        <w:t xml:space="preserve">Article 8 Sharing of Resources and Experience Relationship personnel are encouraged to share knowledge, experience, and resources to promote each other’s growth and learning.</w:t>
      </w:r>
    </w:p>
    <w:p>
      <w:pPr>
        <w:pStyle w:val="BodyText"/>
        <w:spacing w:after="120" w:line="312" w:lineRule="auto"/>
      </w:pPr>
      <w:r>
        <w:rPr>
          <w:rFonts w:ascii="DejaVu Serif" w:hAnsi="DejaVu Serif" w:eastAsia="Noto Serif CJK SC"/>
          <w:color w:val="000000"/>
          <w:sz w:val="22"/>
        </w:rPr>
        <w:t xml:space="preserve">Article 9 Fair Handling of Conflicts When disagreements or conflicts arise, relationship personnel should resolve issues through dialogue and negotiation based on the principles of fairness and respect.</w:t>
      </w:r>
    </w:p>
    <w:p>
      <w:pPr>
        <w:pStyle w:val="BodyText"/>
        <w:spacing w:after="120" w:line="312" w:lineRule="auto"/>
      </w:pPr>
      <w:r>
        <w:rPr>
          <w:rFonts w:ascii="DejaVu Serif" w:hAnsi="DejaVu Serif" w:eastAsia="Noto Serif CJK SC"/>
          <w:color w:val="000000"/>
          <w:sz w:val="22"/>
        </w:rPr>
        <w:t xml:space="preserve">Article 10 Seeking Third-Party Assistance If it is difficult to resolve conflicts independently, professional help or assistance from a neutral third party may be sought to achieve reconciliation.</w:t>
      </w:r>
    </w:p>
    <w:p>
      <w:pPr>
        <w:pStyle w:val="BodyText"/>
        <w:spacing w:after="120" w:line="312" w:lineRule="auto"/>
      </w:pPr>
      <w:r>
        <w:rPr>
          <w:rFonts w:ascii="DejaVu Serif" w:hAnsi="DejaVu Serif" w:eastAsia="Noto Serif CJK SC"/>
          <w:color w:val="000000"/>
          <w:sz w:val="22"/>
        </w:rPr>
        <w:t xml:space="preserve">Article 11 Revision of Rules These rules may be revised based on the joint decision of the relationship personnel to adapt to changing circumstances and needs.</w:t>
      </w:r>
    </w:p>
    <w:p>
      <w:pPr>
        <w:pStyle w:val="BodyText"/>
        <w:spacing w:after="120" w:line="312" w:lineRule="auto"/>
      </w:pPr>
      <w:r>
        <w:rPr>
          <w:rFonts w:ascii="DejaVu Serif" w:hAnsi="DejaVu Serif" w:eastAsia="Noto Serif CJK SC"/>
          <w:color w:val="000000"/>
          <w:sz w:val="22"/>
        </w:rPr>
        <w:t xml:space="preserve">Article 12 Right of Interpretation The right to interpret these rules belongs jointly to all relationship personnel, and any interpretation should be based on the principles of promoting harmony and win-win cooperation.</w:t>
      </w:r>
    </w:p>
    <w:p>
      <w:pPr>
        <w:pStyle w:val="BodyText"/>
        <w:spacing w:after="120" w:line="312" w:lineRule="auto"/>
      </w:pPr>
      <w:r>
        <w:rPr>
          <w:rFonts w:ascii="DejaVu Serif" w:hAnsi="DejaVu Serif" w:eastAsia="Noto Serif CJK SC"/>
          <w:color w:val="000000"/>
          <w:sz w:val="22"/>
        </w:rPr>
        <w:t xml:space="preserve">Article 13 Supplementary Provisions</w:t>
      </w:r>
    </w:p>
    <w:p>
      <w:pPr>
        <w:numPr>
          <w:ilvl w:val="0"/>
          <w:numId w:val="1131"/>
        </w:numPr>
        <w:spacing w:after="120" w:line="312" w:lineRule="auto"/>
      </w:pPr>
      <w:r>
        <w:rPr>
          <w:rFonts w:ascii="DejaVu Serif" w:hAnsi="DejaVu Serif" w:eastAsia="Noto Serif CJK SC"/>
          <w:color w:val="000000"/>
          <w:sz w:val="22"/>
        </w:rPr>
        <w:t xml:space="preserve">These rules aim to provide a framework for harmonious coexistence in relationships between soulmates, close friends, and confidants. Through joint efforts and commitment, we expect all relationship personnel to achieve more fulfilling and satisfying interpersonal relationships.</w:t>
      </w:r>
    </w:p>
    <w:p>
      <w:pPr>
        <w:numPr>
          <w:ilvl w:val="0"/>
          <w:numId w:val="1131"/>
        </w:numPr>
        <w:spacing w:after="120" w:line="312" w:lineRule="auto"/>
      </w:pPr>
      <w:r>
        <w:rPr>
          <w:rFonts w:ascii="DejaVu Serif" w:hAnsi="DejaVu Serif" w:eastAsia="Noto Serif CJK SC"/>
          <w:color w:val="000000"/>
          <w:sz w:val="22"/>
        </w:rPr>
        <w:t xml:space="preserve">These rules shall be implemented from February 28, 2026, and shall be retroactively applicable to the effective date of the main Charter on August 13, 2022.</w:t>
      </w:r>
    </w:p>
    <w:p>
      <w:pPr>
        <w:pStyle w:val="FirstParagraph"/>
        <w:spacing w:after="120" w:line="312" w:lineRule="auto"/>
      </w:pPr>
      <w:r>
        <w:rPr>
          <w:rFonts w:ascii="DejaVu Serif" w:hAnsi="DejaVu Serif" w:eastAsia="Noto Serif CJK SC"/>
          <w:color w:val="000000"/>
          <w:sz w:val="22"/>
        </w:rPr>
        <w:t xml:space="preserve">Signed by the Charter Correctors</w:t>
      </w:r>
    </w:p>
    <w:p>
      <w:pPr>
        <w:spacing w:after="120" w:line="312" w:lineRule="auto"/>
      </w:pPr>
      <w:r>
        <w:rPr>
          <w:rFonts w:ascii="DejaVu Serif" w:hAnsi="DejaVu Serif" w:eastAsia="Noto Serif CJK SC"/>
          <w:color w:val="000000"/>
          <w:sz w:val="22"/>
        </w:rPr>
        <w:pict>
          <v:rect style="width:0;height:1.5pt" o:hralign="center" o:hrstd="t" o:hr="t"/>
        </w:pict>
      </w:r>
    </w:p>
    <w:bookmarkEnd w:id="266"/>
    <w:bookmarkEnd w:id="267"/>
    <w:bookmarkStart w:id="269" w:name="series-g-terminology-explanation"/>
    <w:p>
      <w:pPr>
        <w:pStyle w:val="Heading2"/>
        <w:spacing w:after="160" w:line="312" w:lineRule="auto"/>
        <w:jc w:val="left"/>
      </w:pPr>
      <w:r>
        <w:rPr>
          <w:rFonts w:ascii="DejaVu Serif" w:hAnsi="DejaVu Serif" w:eastAsia="Noto Serif CJK SC"/>
          <w:color w:val="000000"/>
          <w:sz w:val="30"/>
        </w:rPr>
        <w:t xml:space="preserve">Series G · Terminology Explanation</w:t>
      </w:r>
    </w:p>
    <w:bookmarkStart w:id="268" w:name="X49e466fe4fa58128afb872ed1e2d3f8377bd19e"/>
    <w:p>
      <w:pPr>
        <w:pStyle w:val="Heading3"/>
        <w:spacing w:after="120" w:line="312" w:lineRule="auto"/>
        <w:jc w:val="left"/>
      </w:pPr>
      <w:r>
        <w:rPr>
          <w:rFonts w:ascii="DejaVu Serif" w:hAnsi="DejaVu Serif" w:eastAsia="Noto Serif CJK SC"/>
          <w:color w:val="000000"/>
          <w:sz w:val="26"/>
        </w:rPr>
        <w:t xml:space="preserve">Annex G.01.001　</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Interpretation of the Meaning of the Term</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Mandatory Provisions of Law</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(Verbatim Full Text)</w:t>
      </w:r>
    </w:p>
    <w:p>
      <w:pPr>
        <w:pStyle w:val="FirstParagraph"/>
        <w:spacing w:after="120" w:line="312" w:lineRule="auto"/>
      </w:pPr>
      <w:r>
        <w:rPr>
          <w:rFonts w:ascii="DejaVu Serif" w:hAnsi="DejaVu Serif" w:eastAsia="Noto Serif CJK SC"/>
          <w:color w:val="000000"/>
          <w:sz w:val="22"/>
        </w:rPr>
        <w:t xml:space="preserve">【Verbatim Full Text】</w:t>
      </w:r>
    </w:p>
    <w:p>
      <w:pPr>
        <w:pStyle w:val="BodyText"/>
        <w:spacing w:after="120" w:line="312" w:lineRule="auto"/>
      </w:pPr>
      <w:r>
        <w:rPr>
          <w:rFonts w:ascii="DejaVu Serif" w:hAnsi="DejaVu Serif" w:eastAsia="Noto Serif CJK SC"/>
          <w:color w:val="000000"/>
          <w:sz w:val="22"/>
        </w:rPr>
        <w:t xml:space="preserve">Interpretation of the Meaning of the Term</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Mandatory Provisions of Law</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Institutional Documents or Contracts (Interpretation of the Charter of Life Action No. 2026-I-0315001)</w:t>
      </w:r>
    </w:p>
    <w:p>
      <w:pPr>
        <w:pStyle w:val="BodyText"/>
        <w:spacing w:after="120" w:line="312" w:lineRule="auto"/>
      </w:pPr>
      <w:r>
        <w:rPr>
          <w:rFonts w:ascii="DejaVu Serif" w:hAnsi="DejaVu Serif" w:eastAsia="Noto Serif CJK SC"/>
          <w:color w:val="000000"/>
          <w:sz w:val="22"/>
        </w:rPr>
        <w:t xml:space="preserve">The term</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mandatory provisions expressly stipulated by law</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used in this Charter refers to the current and valid laws or administrative regulations of the People’s Republic of China or the country where the actor is at the time of action, which, in accordance with the relevant provisions of the Constitution and higher laws, use expressions and formulations with clear mandatory binding meaning, including but not limited to</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shall not,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shall,</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strictly prohibited,</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especially those articles that also expressly stipulate corresponding legal consequences (for example: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violating the provisions of Article X, Paragraph Y of this Law shall be subject to… measures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However, the following provisions or legal provisions do not constitute mandatory provisions expressly stipulated by law:</w:t>
      </w:r>
    </w:p>
    <w:p>
      <w:pPr>
        <w:numPr>
          <w:ilvl w:val="0"/>
          <w:numId w:val="1132"/>
        </w:numPr>
        <w:spacing w:after="120" w:line="312" w:lineRule="auto"/>
      </w:pPr>
      <w:r>
        <w:rPr>
          <w:rFonts w:ascii="DejaVu Serif" w:hAnsi="DejaVu Serif" w:eastAsia="Noto Serif CJK SC"/>
          <w:color w:val="000000"/>
          <w:sz w:val="22"/>
        </w:rPr>
        <w:t xml:space="preserve">First, those that belong to the transaction customs between the parties, but the party does not acknowledge such customs, and there is no mandatory provision in the law;</w:t>
      </w:r>
    </w:p>
    <w:p>
      <w:pPr>
        <w:numPr>
          <w:ilvl w:val="0"/>
          <w:numId w:val="1132"/>
        </w:numPr>
        <w:spacing w:after="120" w:line="312" w:lineRule="auto"/>
      </w:pPr>
      <w:r>
        <w:rPr>
          <w:rFonts w:ascii="DejaVu Serif" w:hAnsi="DejaVu Serif" w:eastAsia="Noto Serif CJK SC"/>
          <w:color w:val="000000"/>
          <w:sz w:val="22"/>
        </w:rPr>
        <w:t xml:space="preserve">Second, those that belong to the ambiguous category of social morality, but the party does not recognize them, and there is no mandatory provision expressly stipulated by law;</w:t>
      </w:r>
    </w:p>
    <w:p>
      <w:pPr>
        <w:numPr>
          <w:ilvl w:val="0"/>
          <w:numId w:val="1132"/>
        </w:numPr>
        <w:spacing w:after="120" w:line="312" w:lineRule="auto"/>
      </w:pPr>
      <w:r>
        <w:rPr>
          <w:rFonts w:ascii="DejaVu Serif" w:hAnsi="DejaVu Serif" w:eastAsia="Noto Serif CJK SC"/>
          <w:color w:val="000000"/>
          <w:sz w:val="22"/>
        </w:rPr>
        <w:t xml:space="preserve">Third, other situations not expressly stipulated by mandatory provisions in other laws and not violating the aforementioned definition, performed according to the party’s own will (in accordance with the principle of voluntariness in the Civil Code §1-5, what is not prohibited by law is freedom), which are not listed or included in the aforementioned situations that do not violate mandatory provisions of law.</w:t>
      </w:r>
    </w:p>
    <w:p>
      <w:pPr>
        <w:spacing w:after="120" w:line="312" w:lineRule="auto"/>
      </w:pPr>
      <w:r>
        <w:rPr>
          <w:rFonts w:ascii="DejaVu Serif" w:hAnsi="DejaVu Serif" w:eastAsia="Noto Serif CJK SC"/>
          <w:color w:val="000000"/>
          <w:sz w:val="22"/>
        </w:rPr>
        <w:pict>
          <v:rect style="width:0;height:1.5pt" o:hralign="center" o:hrstd="t" o:hr="t"/>
        </w:pict>
      </w:r>
    </w:p>
    <w:bookmarkEnd w:id="268"/>
    <w:bookmarkEnd w:id="269"/>
    <w:bookmarkStart w:id="271" w:name="h-series-interpretive-letter"/>
    <w:p>
      <w:pPr>
        <w:pStyle w:val="Heading2"/>
        <w:spacing w:after="160" w:line="312" w:lineRule="auto"/>
        <w:jc w:val="left"/>
      </w:pPr>
      <w:r>
        <w:rPr>
          <w:rFonts w:ascii="DejaVu Serif" w:hAnsi="DejaVu Serif" w:eastAsia="Noto Serif CJK SC"/>
          <w:color w:val="000000"/>
          <w:sz w:val="30"/>
        </w:rPr>
        <w:t xml:space="preserve">H Series · Interpretive Letter</w:t>
      </w:r>
    </w:p>
    <w:bookmarkStart w:id="270" w:name="Xcda785a71a64fc17c5a8a7321916cf9d24a04e3"/>
    <w:p>
      <w:pPr>
        <w:pStyle w:val="Heading3"/>
        <w:spacing w:after="120" w:line="312" w:lineRule="auto"/>
        <w:jc w:val="left"/>
      </w:pPr>
      <w:r>
        <w:rPr>
          <w:rFonts w:ascii="DejaVu Serif" w:hAnsi="DejaVu Serif" w:eastAsia="Noto Serif CJK SC"/>
          <w:color w:val="000000"/>
          <w:sz w:val="26"/>
        </w:rPr>
        <w:t xml:space="preserve">Annex H.01.001</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Interpretive Letter of the Charter of Life Action (2026·No. 1)</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(Verbatim Full Text)</w:t>
      </w:r>
    </w:p>
    <w:p>
      <w:pPr>
        <w:pStyle w:val="FirstParagraph"/>
        <w:spacing w:after="120" w:line="312" w:lineRule="auto"/>
      </w:pPr>
      <w:r>
        <w:rPr>
          <w:rFonts w:ascii="DejaVu Serif" w:hAnsi="DejaVu Serif" w:eastAsia="Noto Serif CJK SC"/>
          <w:color w:val="000000"/>
          <w:sz w:val="22"/>
        </w:rPr>
        <w:t xml:space="preserve">【Verbatim Full Text】</w:t>
      </w:r>
    </w:p>
    <w:p>
      <w:pPr>
        <w:pStyle w:val="BodyText"/>
        <w:spacing w:after="120" w:line="312" w:lineRule="auto"/>
      </w:pPr>
      <w:r>
        <w:rPr>
          <w:rFonts w:ascii="DejaVu Serif" w:hAnsi="DejaVu Serif" w:eastAsia="Noto Serif CJK SC"/>
          <w:color w:val="000000"/>
          <w:sz w:val="22"/>
        </w:rPr>
        <w:t xml:space="preserve">Annex H.01.001 Interpretive Letter of the Charter of Life Action • (2026 No. 1)</w:t>
      </w:r>
    </w:p>
    <w:p>
      <w:pPr>
        <w:pStyle w:val="BodyText"/>
        <w:spacing w:after="120" w:line="312" w:lineRule="auto"/>
      </w:pPr>
      <w:r>
        <w:rPr>
          <w:rFonts w:ascii="DejaVu Serif" w:hAnsi="DejaVu Serif" w:eastAsia="Noto Serif CJK SC"/>
          <w:color w:val="000000"/>
          <w:sz w:val="22"/>
        </w:rPr>
        <w:t xml:space="preserve">Document Number: H.01.001 Document Name: Authoritative Interpretation Regarding the Penalty Expressions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Imprisonment for More Than Seven Years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Articles 12 and 13 of the Main Charter Document Type: Interpretive Letter (Annex, with formal validity)</w:t>
      </w:r>
    </w:p>
    <w:p>
      <w:pPr>
        <w:pStyle w:val="BodyText"/>
        <w:spacing w:after="120" w:line="312" w:lineRule="auto"/>
      </w:pPr>
      <w:r>
        <w:rPr>
          <w:rFonts w:ascii="DejaVu Serif" w:hAnsi="DejaVu Serif" w:eastAsia="Noto Serif CJK SC"/>
          <w:color w:val="000000"/>
          <w:sz w:val="22"/>
        </w:rPr>
        <w:t xml:space="preserve">Issuing Authority: The Charter-Maker Effective Date: August 12, 2026 Retroactive Effect: Applicable retroactively from the date of entry into force of the Main Charter of this Charter I. Reason for Interpretation Main Charter Article 12 【Absolute Declaration of Life Bottom Line】 stipulates:</w:t>
      </w:r>
    </w:p>
    <w:p>
      <w:pPr>
        <w:pStyle w:val="BodyText"/>
        <w:spacing w:after="120" w:line="312" w:lineRule="auto"/>
      </w:pPr>
      <w:r>
        <w:rPr>
          <w:rFonts w:ascii="DejaVu Serif" w:hAnsi="DejaVu Serif" w:eastAsia="Noto Serif CJK SC"/>
          <w:color w:val="000000"/>
          <w:sz w:val="22"/>
        </w:rPr>
        <w:t xml:space="preserve">“Under no circumstances shall one’s actions actually violate the degree of imprisonment for more than seven years (life deprivation of political rights) as stipulated in the Criminal Law and its judicial interpretations (constituting a crime and sentenced to imprisonment of seven years or more),</w:t>
      </w:r>
    </w:p>
    <w:p>
      <w:pPr>
        <w:pStyle w:val="BodyText"/>
        <w:spacing w:after="120" w:line="312" w:lineRule="auto"/>
      </w:pPr>
      <w:r>
        <w:rPr>
          <w:rFonts w:ascii="DejaVu Serif" w:hAnsi="DejaVu Serif" w:eastAsia="Noto Serif CJK SC"/>
          <w:color w:val="000000"/>
          <w:sz w:val="22"/>
        </w:rPr>
        <w:t xml:space="preserve">or exceed the above limits.”</w:t>
      </w:r>
    </w:p>
    <w:p>
      <w:pPr>
        <w:pStyle w:val="BodyText"/>
        <w:spacing w:after="120" w:line="312" w:lineRule="auto"/>
      </w:pPr>
      <w:r>
        <w:rPr>
          <w:rFonts w:ascii="DejaVu Serif" w:hAnsi="DejaVu Serif" w:eastAsia="Noto Serif CJK SC"/>
          <w:color w:val="000000"/>
          <w:sz w:val="22"/>
        </w:rPr>
        <w:t xml:space="preserve">Main Charter Article 13 【Supplementary Statement on the Absolute Bottom Line of Life】</w:t>
      </w:r>
    </w:p>
    <w:p>
      <w:pPr>
        <w:pStyle w:val="BodyText"/>
        <w:spacing w:after="120" w:line="312" w:lineRule="auto"/>
      </w:pPr>
      <w:r>
        <w:rPr>
          <w:rFonts w:ascii="DejaVu Serif" w:hAnsi="DejaVu Serif" w:eastAsia="Noto Serif CJK SC"/>
          <w:color w:val="000000"/>
          <w:sz w:val="22"/>
        </w:rPr>
        <w:t xml:space="preserve">further stipulates:</w:t>
      </w:r>
    </w:p>
    <w:p>
      <w:pPr>
        <w:pStyle w:val="BodyText"/>
        <w:spacing w:after="120" w:line="312" w:lineRule="auto"/>
      </w:pPr>
      <w:r>
        <w:rPr>
          <w:rFonts w:ascii="DejaVu Serif" w:hAnsi="DejaVu Serif" w:eastAsia="Noto Serif CJK SC"/>
          <w:color w:val="000000"/>
          <w:sz w:val="22"/>
        </w:rPr>
        <w:t xml:space="preserve">“</w:t>
      </w:r>
      <w:r>
        <w:rPr>
          <w:rFonts w:ascii="DejaVu Serif" w:hAnsi="DejaVu Serif" w:eastAsia="Noto Serif CJK SC"/>
          <w:color w:val="000000"/>
          <w:sz w:val="22"/>
        </w:rPr>
        <w:t xml:space="preserve">My absolute bottom line is, in principle, not to personally violate [when necessary, may be implemented by agents after discussion with others]: Item 1, single crimes of imprisonment for more than seven years (excluding this number); Item 2, in the case of multiple crimes combined, a cumulative imprisonment of twenty years (including this number) or more, or sentences above life imprisonment, as stipulated in the Criminal Law and relevant judicial interpretations; Item 3, to ensure that I myself absolutely do not receive the punishment of death penalty and life imprisonment (as well as life deprivation of political rights).</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Annex A.07.001 Code of Ethics and Ceremonies (Grand Code) Article 5 【Principle of Anti-Crime Serious Offenses】 also stipulates:</w:t>
      </w:r>
    </w:p>
    <w:p>
      <w:pPr>
        <w:pStyle w:val="BodyText"/>
        <w:spacing w:after="120" w:line="312" w:lineRule="auto"/>
      </w:pPr>
      <w:r>
        <w:rPr>
          <w:rFonts w:ascii="DejaVu Serif" w:hAnsi="DejaVu Serif" w:eastAsia="Noto Serif CJK SC"/>
          <w:color w:val="000000"/>
          <w:sz w:val="22"/>
        </w:rPr>
        <w:t xml:space="preserve">“Violating the Criminal Law (especially offenses that may be punishable by imprisonment for more than seven years) is the absolute behavioral bottom line.</w:t>
      </w:r>
    </w:p>
    <w:p>
      <w:pPr>
        <w:pStyle w:val="BodyText"/>
        <w:spacing w:after="120" w:line="312" w:lineRule="auto"/>
      </w:pPr>
      <w:r>
        <w:rPr>
          <w:rFonts w:ascii="DejaVu Serif" w:hAnsi="DejaVu Serif" w:eastAsia="Noto Serif CJK SC"/>
          <w:color w:val="000000"/>
          <w:sz w:val="22"/>
        </w:rPr>
        <w:t xml:space="preserve">In extreme cases, limited penalties may be accepted for significant altruistic goals (single act ≤ 7 years, multiple acts ≤ 20 years), but this 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extraordinary means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requires strict review by the Community Ethics Committee.”</w:t>
      </w:r>
    </w:p>
    <w:p>
      <w:pPr>
        <w:pStyle w:val="BodyText"/>
        <w:spacing w:after="120" w:line="312" w:lineRule="auto"/>
      </w:pPr>
      <w:r>
        <w:rPr>
          <w:rFonts w:ascii="DejaVu Serif" w:hAnsi="DejaVu Serif" w:eastAsia="Noto Serif CJK SC"/>
          <w:color w:val="000000"/>
          <w:sz w:val="22"/>
        </w:rPr>
        <w:t xml:space="preserve">In view of the fact that the penalty level expressions such as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imprisonment for more than seven years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twenty years of imprisonment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the above clauses may cause the following misunderstandings when read literally—that is, mistakenly believing that the Charter-Maker intends to actively commit criminal acts with the goal or purpose of being subject to criminal prosecution—this Interpretive Letter is hereby issued to authoritatively clarify and explain the true meaning of the above clauses.</w:t>
      </w:r>
    </w:p>
    <w:p>
      <w:pPr>
        <w:pStyle w:val="Compact"/>
        <w:numPr>
          <w:ilvl w:val="0"/>
          <w:numId w:val="1133"/>
        </w:numPr>
        <w:spacing w:after="120" w:line="312" w:lineRule="auto"/>
      </w:pPr>
      <w:r>
        <w:rPr>
          <w:rFonts w:ascii="DejaVu Serif" w:hAnsi="DejaVu Serif" w:eastAsia="Noto Serif CJK SC"/>
          <w:color w:val="000000"/>
          <w:sz w:val="22"/>
        </w:rPr>
        <w:t xml:space="preserve">Interpretive Content</w:t>
      </w:r>
    </w:p>
    <w:p>
      <w:pPr>
        <w:pStyle w:val="Compact"/>
        <w:numPr>
          <w:ilvl w:val="0"/>
          <w:numId w:val="1134"/>
        </w:numPr>
        <w:spacing w:after="120" w:line="312" w:lineRule="auto"/>
      </w:pPr>
      <w:r>
        <w:rPr>
          <w:rFonts w:ascii="DejaVu Serif" w:hAnsi="DejaVu Serif" w:eastAsia="Noto Serif CJK SC"/>
          <w:color w:val="000000"/>
          <w:sz w:val="22"/>
        </w:rPr>
        <w:t xml:space="preserve">The True Meaning of Penalty Level Expressions Such as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Imprisonment for More Than Seven Years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penalty level standards such as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imprisonment for more than seven years,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twenty years of imprisonment,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life imprisonment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cited in Main Charter Articles 12 and 13 and Annex A.07.001, Article 5, are risk boundary markers,</w:t>
      </w:r>
    </w:p>
    <w:p>
      <w:pPr>
        <w:pStyle w:val="FirstParagraph"/>
        <w:spacing w:after="120" w:line="312" w:lineRule="auto"/>
      </w:pPr>
      <w:r>
        <w:rPr>
          <w:rFonts w:ascii="DejaVu Serif" w:hAnsi="DejaVu Serif" w:eastAsia="Noto Serif CJK SC"/>
          <w:color w:val="000000"/>
          <w:sz w:val="22"/>
        </w:rPr>
        <w:t xml:space="preserve">rather than behavioral purposes or intentions.</w:t>
      </w:r>
    </w:p>
    <w:p>
      <w:pPr>
        <w:pStyle w:val="BodyText"/>
        <w:spacing w:after="120" w:line="312" w:lineRule="auto"/>
      </w:pPr>
      <w:r>
        <w:rPr>
          <w:rFonts w:ascii="DejaVu Serif" w:hAnsi="DejaVu Serif" w:eastAsia="Noto Serif CJK SC"/>
          <w:color w:val="000000"/>
          <w:sz w:val="22"/>
        </w:rPr>
        <w:t xml:space="preserve">Specifically:</w:t>
      </w:r>
    </w:p>
    <w:p>
      <w:pPr>
        <w:pStyle w:val="Compact"/>
        <w:numPr>
          <w:ilvl w:val="0"/>
          <w:numId w:val="1135"/>
        </w:numPr>
        <w:spacing w:after="120" w:line="312" w:lineRule="auto"/>
      </w:pPr>
      <w:r>
        <w:rPr>
          <w:rFonts w:ascii="DejaVu Serif" w:hAnsi="DejaVu Serif" w:eastAsia="Noto Serif CJK SC"/>
          <w:color w:val="000000"/>
          <w:sz w:val="22"/>
        </w:rPr>
        <w:t xml:space="preserve">The expressions referred to are risks rather than intentions</w:t>
      </w:r>
    </w:p>
    <w:p>
      <w:pPr>
        <w:pStyle w:val="FirstParagraph"/>
        <w:spacing w:after="120" w:line="312" w:lineRule="auto"/>
      </w:pPr>
      <w:r>
        <w:rPr>
          <w:rFonts w:ascii="DejaVu Serif" w:hAnsi="DejaVu Serif" w:eastAsia="Noto Serif CJK SC"/>
          <w:color w:val="000000"/>
          <w:sz w:val="22"/>
        </w:rPr>
        <w:t xml:space="preserve">The Charter-Maker</w:t>
      </w:r>
    </w:p>
    <w:p>
      <w:pPr>
        <w:pStyle w:val="BodyText"/>
        <w:spacing w:after="120" w:line="312" w:lineRule="auto"/>
      </w:pPr>
      <w:r>
        <w:rPr>
          <w:rFonts w:ascii="DejaVu Serif" w:hAnsi="DejaVu Serif" w:eastAsia="Noto Serif CJK SC"/>
          <w:color w:val="000000"/>
          <w:sz w:val="22"/>
        </w:rPr>
        <w:t xml:space="preserve">The actor cites the above penalty levels to mean that if a certain behavior is implemented,</w:t>
      </w:r>
    </w:p>
    <w:p>
      <w:pPr>
        <w:pStyle w:val="BodyText"/>
        <w:spacing w:after="120" w:line="312" w:lineRule="auto"/>
      </w:pPr>
      <w:r>
        <w:rPr>
          <w:rFonts w:ascii="DejaVu Serif" w:hAnsi="DejaVu Serif" w:eastAsia="Noto Serif CJK SC"/>
          <w:color w:val="000000"/>
          <w:sz w:val="22"/>
        </w:rPr>
        <w:t xml:space="preserve">there exists a risk or a significant risk of constituting such a crime under specific circumstances, rather than that the Charter-Maker intends to commit crimes with the aim of being subject to</w:t>
      </w:r>
    </w:p>
    <w:p>
      <w:pPr>
        <w:pStyle w:val="Compact"/>
        <w:numPr>
          <w:ilvl w:val="0"/>
          <w:numId w:val="1136"/>
        </w:numPr>
        <w:spacing w:after="120" w:line="312" w:lineRule="auto"/>
      </w:pPr>
      <w:r>
        <w:rPr>
          <w:rFonts w:ascii="DejaVu Serif" w:hAnsi="DejaVu Serif" w:eastAsia="Noto Serif CJK SC"/>
          <w:color w:val="000000"/>
          <w:sz w:val="22"/>
        </w:rPr>
        <w:t xml:space="preserve">The function of such expressions is to</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set limits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rather than to</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grant authorization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The function of the aforementioned provisions is to establish for the Charter-Maker an insurmountable boundary of behavioral risk—that is, the legal risk of any action shall not reach that boundary.</w:t>
      </w:r>
    </w:p>
    <w:p>
      <w:pPr>
        <w:pStyle w:val="FirstParagraph"/>
        <w:spacing w:after="120" w:line="312" w:lineRule="auto"/>
      </w:pPr>
      <w:r>
        <w:rPr>
          <w:rFonts w:ascii="DejaVu Serif" w:hAnsi="DejaVu Serif" w:eastAsia="Noto Serif CJK SC"/>
          <w:color w:val="000000"/>
          <w:sz w:val="22"/>
        </w:rPr>
        <w:t xml:space="preserve">or exceeding the severity corresponding to the level of such penalties, this is self-restraint and self-limitation of one’s own conduct, rather than a pre-set permission or pursuit of criminal acts.</w:t>
      </w:r>
    </w:p>
    <w:p>
      <w:pPr>
        <w:pStyle w:val="Compact"/>
        <w:numPr>
          <w:ilvl w:val="0"/>
          <w:numId w:val="1137"/>
        </w:numPr>
        <w:spacing w:after="120" w:line="312" w:lineRule="auto"/>
      </w:pPr>
      <w:r>
        <w:rPr>
          <w:rFonts w:ascii="DejaVu Serif" w:hAnsi="DejaVu Serif" w:eastAsia="Noto Serif CJK SC"/>
          <w:color w:val="000000"/>
          <w:sz w:val="22"/>
        </w:rPr>
        <w:t xml:space="preserve">“</w:t>
      </w:r>
      <w:r>
        <w:rPr>
          <w:rFonts w:ascii="DejaVu Serif" w:hAnsi="DejaVu Serif" w:eastAsia="Noto Serif CJK SC"/>
          <w:color w:val="000000"/>
          <w:sz w:val="22"/>
        </w:rPr>
        <w:t xml:space="preserve">In extreme circumstances, limited penalties may be accepted for significant altruistic objectives.</w:t>
      </w:r>
      <w:r>
        <w:rPr>
          <w:rFonts w:ascii="DejaVu Serif" w:hAnsi="DejaVu Serif" w:eastAsia="Noto Serif CJK SC"/>
          <w:color w:val="000000"/>
          <w:sz w:val="22"/>
        </w:rPr>
        <w:t xml:space="preserve">”</w:t>
      </w:r>
    </w:p>
    <w:p>
      <w:pPr>
        <w:pStyle w:val="FirstParagraph"/>
        <w:spacing w:after="120" w:line="312" w:lineRule="auto"/>
      </w:pPr>
      <w:r>
        <w:rPr>
          <w:rFonts w:ascii="DejaVu Serif" w:hAnsi="DejaVu Serif" w:eastAsia="Noto Serif CJK SC"/>
          <w:color w:val="000000"/>
          <w:sz w:val="22"/>
        </w:rPr>
        <w:t xml:space="preserve">the meaning thereof. The phrase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in extreme circumstances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Article 13 and Article 5 of A.07.001 refers to situations that are extremely rare and where extraordinary means must be adopted to achieve significant altruistic objectives. In such cases, the Charter-Maker, after undergoing a rigorous review process, may accept that a given action objectively carries a risk of being held liable for limited criminal responsibility. The term</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accept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herein</w:t>
      </w:r>
    </w:p>
    <w:p>
      <w:pPr>
        <w:pStyle w:val="BodyText"/>
        <w:spacing w:after="120" w:line="312" w:lineRule="auto"/>
      </w:pPr>
      <w:r>
        <w:rPr>
          <w:rFonts w:ascii="DejaVu Serif" w:hAnsi="DejaVu Serif" w:eastAsia="Noto Serif CJK SC"/>
          <w:color w:val="000000"/>
          <w:sz w:val="22"/>
        </w:rPr>
        <w:t xml:space="preserve">Refers to the acceptance of risk, that is, recognizing that the act carries the risk of constituting a crime under specific circumstances and being willing to bear the consequences of that risk, rather than referring to having criminal intent or pursuing the goal of being subjected to criminal punishment.</w:t>
      </w:r>
    </w:p>
    <w:p>
      <w:pPr>
        <w:pStyle w:val="Compact"/>
        <w:numPr>
          <w:ilvl w:val="0"/>
          <w:numId w:val="1138"/>
        </w:numPr>
        <w:spacing w:after="120" w:line="312" w:lineRule="auto"/>
      </w:pPr>
      <w:r>
        <w:rPr>
          <w:rFonts w:ascii="DejaVu Serif" w:hAnsi="DejaVu Serif" w:eastAsia="Noto Serif CJK SC"/>
          <w:color w:val="000000"/>
          <w:sz w:val="22"/>
        </w:rPr>
        <w:t xml:space="preserve">To eliminate all possible ambiguities, a strict distinction between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Risk</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Intent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is hereby made as follows:</w:t>
      </w:r>
    </w:p>
    <w:p>
      <w:pPr>
        <w:numPr>
          <w:ilvl w:val="0"/>
          <w:numId w:val="1139"/>
        </w:numPr>
        <w:spacing w:after="120" w:line="312" w:lineRule="auto"/>
      </w:pPr>
      <w:r>
        <w:rPr>
          <w:rFonts w:ascii="DejaVu Serif" w:hAnsi="DejaVu Serif" w:eastAsia="Noto Serif CJK SC"/>
          <w:color w:val="000000"/>
          <w:sz w:val="22"/>
        </w:rPr>
        <w:t xml:space="preserve">On Nature: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Risk</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referred to in this Charter) means the objective possibility that a certain act constitutes a crime;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Intent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not referred to in this Charter) means the purpose of committing a crime and the pursuit of receiving punishment.</w:t>
      </w:r>
    </w:p>
    <w:p>
      <w:pPr>
        <w:numPr>
          <w:ilvl w:val="0"/>
          <w:numId w:val="1139"/>
        </w:numPr>
        <w:spacing w:after="120" w:line="312" w:lineRule="auto"/>
      </w:pPr>
      <w:r>
        <w:rPr>
          <w:rFonts w:ascii="DejaVu Serif" w:hAnsi="DejaVu Serif" w:eastAsia="Noto Serif CJK SC"/>
          <w:color w:val="000000"/>
          <w:sz w:val="22"/>
        </w:rPr>
        <w:t xml:space="preserve">Subjective State: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Risk</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refers to the recognition of the existence of risk and its assessment and control;</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Intent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refers to the active pursuit of the occurrence of criminal results.</w:t>
      </w:r>
    </w:p>
    <w:p>
      <w:pPr>
        <w:numPr>
          <w:ilvl w:val="0"/>
          <w:numId w:val="1139"/>
        </w:numPr>
        <w:spacing w:after="120" w:line="312" w:lineRule="auto"/>
      </w:pPr>
      <w:r>
        <w:rPr>
          <w:rFonts w:ascii="DejaVu Serif" w:hAnsi="DejaVu Serif" w:eastAsia="Noto Serif CJK SC"/>
          <w:color w:val="000000"/>
          <w:sz w:val="22"/>
        </w:rPr>
        <w:t xml:space="preserve">Behavioral Positioning:</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Risk</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is positioned as extraordinary means, transitional, and temporary, subject to strict review;</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Intent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is not subject to such positioning.</w:t>
      </w:r>
    </w:p>
    <w:p>
      <w:pPr>
        <w:numPr>
          <w:ilvl w:val="0"/>
          <w:numId w:val="1139"/>
        </w:numPr>
        <w:spacing w:after="120" w:line="312" w:lineRule="auto"/>
      </w:pPr>
      <w:r>
        <w:rPr>
          <w:rFonts w:ascii="DejaVu Serif" w:hAnsi="DejaVu Serif" w:eastAsia="Noto Serif CJK SC"/>
          <w:color w:val="000000"/>
          <w:sz w:val="22"/>
        </w:rPr>
        <w:t xml:space="preserve">Charter Stance: Regarding</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risk,</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its acceptance is permissible in extreme circumstances following rigorous review; regarding</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intent,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absolute negation and prohibition.</w:t>
      </w:r>
    </w:p>
    <w:p>
      <w:pPr>
        <w:numPr>
          <w:ilvl w:val="0"/>
          <w:numId w:val="1139"/>
        </w:numPr>
        <w:spacing w:after="120" w:line="312" w:lineRule="auto"/>
      </w:pPr>
      <w:r>
        <w:rPr>
          <w:rFonts w:ascii="DejaVu Serif" w:hAnsi="DejaVu Serif" w:eastAsia="Noto Serif CJK SC"/>
          <w:color w:val="000000"/>
          <w:sz w:val="22"/>
        </w:rPr>
        <w:t xml:space="preserve">Clause Function: ” ”</w:t>
      </w:r>
    </w:p>
    <w:p>
      <w:pPr>
        <w:pStyle w:val="FirstParagraph"/>
        <w:spacing w:after="120" w:line="312" w:lineRule="auto"/>
      </w:pPr>
      <w:r>
        <w:rPr>
          <w:rFonts w:ascii="DejaVu Serif" w:hAnsi="DejaVu Serif" w:eastAsia="Noto Serif CJK SC"/>
          <w:color w:val="000000"/>
          <w:sz w:val="22"/>
        </w:rPr>
        <w:t xml:space="preserve">Risk is used to set insurmountable risk boundaries; ” ”</w:t>
      </w:r>
    </w:p>
    <w:p>
      <w:pPr>
        <w:pStyle w:val="BodyText"/>
        <w:spacing w:after="120" w:line="312" w:lineRule="auto"/>
      </w:pPr>
      <w:r>
        <w:rPr>
          <w:rFonts w:ascii="DejaVu Serif" w:hAnsi="DejaVu Serif" w:eastAsia="Noto Serif CJK SC"/>
          <w:color w:val="000000"/>
          <w:sz w:val="22"/>
        </w:rPr>
        <w:t xml:space="preserve">Ruler Intent does not exist such function.</w:t>
      </w:r>
    </w:p>
    <w:p>
      <w:pPr>
        <w:pStyle w:val="Compact"/>
        <w:numPr>
          <w:ilvl w:val="0"/>
          <w:numId w:val="1140"/>
        </w:numPr>
        <w:spacing w:after="120" w:line="312" w:lineRule="auto"/>
      </w:pPr>
      <w:r>
        <w:rPr>
          <w:rFonts w:ascii="DejaVu Serif" w:hAnsi="DejaVu Serif" w:eastAsia="Noto Serif CJK SC"/>
          <w:color w:val="000000"/>
          <w:sz w:val="22"/>
        </w:rPr>
        <w:t xml:space="preserve">Connection with Article 14 and Article 15 of the Main Charter. Article 14 of the Main Charter explicitly states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Absolute Declaration of the Life Action Baseline,</w:t>
      </w:r>
      <w:r>
        <w:rPr>
          <w:rFonts w:ascii="DejaVu Serif" w:hAnsi="DejaVu Serif" w:eastAsia="Noto Serif CJK SC"/>
          <w:color w:val="000000"/>
          <w:sz w:val="22"/>
        </w:rPr>
        <w:t xml:space="preserve">”</w:t>
      </w:r>
    </w:p>
    <w:p>
      <w:pPr>
        <w:pStyle w:val="FirstParagraph"/>
        <w:spacing w:after="120" w:line="312" w:lineRule="auto"/>
      </w:pPr>
      <w:r>
        <w:rPr>
          <w:rFonts w:ascii="DejaVu Serif" w:hAnsi="DejaVu Serif" w:eastAsia="Noto Serif CJK SC"/>
          <w:color w:val="000000"/>
          <w:sz w:val="22"/>
        </w:rPr>
        <w:t xml:space="preserve">“ ”，</w:t>
      </w:r>
    </w:p>
    <w:p>
      <w:pPr>
        <w:pStyle w:val="BodyText"/>
        <w:spacing w:after="120" w:line="312" w:lineRule="auto"/>
      </w:pPr>
      <w:r>
        <w:rPr>
          <w:rFonts w:ascii="DejaVu Serif" w:hAnsi="DejaVu Serif" w:eastAsia="Noto Serif CJK SC"/>
          <w:color w:val="000000"/>
          <w:sz w:val="22"/>
        </w:rPr>
        <w:t xml:space="preserve">For special and extraordinary means, its status shall be transitional and temporary.</w:t>
      </w:r>
    </w:p>
    <w:p>
      <w:pPr>
        <w:pStyle w:val="BodyText"/>
        <w:spacing w:after="120" w:line="312" w:lineRule="auto"/>
      </w:pPr>
      <w:r>
        <w:rPr>
          <w:rFonts w:ascii="DejaVu Serif" w:hAnsi="DejaVu Serif" w:eastAsia="Noto Serif CJK SC"/>
          <w:color w:val="000000"/>
          <w:sz w:val="22"/>
        </w:rPr>
        <w:t xml:space="preserve">Extraordinary means shall not be used to treat this compliance-based supremacism selection as a long-term action strategy or policy.</w:t>
      </w:r>
    </w:p>
    <w:p>
      <w:pPr>
        <w:pStyle w:val="BodyText"/>
        <w:spacing w:after="120" w:line="312" w:lineRule="auto"/>
      </w:pPr>
      <w:r>
        <w:rPr>
          <w:rFonts w:ascii="DejaVu Serif" w:hAnsi="DejaVu Serif" w:eastAsia="Noto Serif CJK SC"/>
          <w:color w:val="000000"/>
          <w:sz w:val="22"/>
        </w:rPr>
        <w:t xml:space="preserve">Article 15 of the Charter further provides that when applying this baseline, a comprehensive balance shall be struck,</w:t>
      </w:r>
    </w:p>
    <w:p>
      <w:pPr>
        <w:pStyle w:val="BodyText"/>
        <w:spacing w:after="120" w:line="312" w:lineRule="auto"/>
      </w:pPr>
      <w:r>
        <w:rPr>
          <w:rFonts w:ascii="DejaVu Serif" w:hAnsi="DejaVu Serif" w:eastAsia="Noto Serif CJK SC"/>
          <w:color w:val="000000"/>
          <w:sz w:val="22"/>
        </w:rPr>
        <w:t xml:space="preserve">Measure its ROI, giving full consideration to the long-term impact on oneself after use, on the core,</w:t>
      </w:r>
    </w:p>
    <w:p>
      <w:pPr>
        <w:pStyle w:val="BodyText"/>
        <w:spacing w:after="120" w:line="312" w:lineRule="auto"/>
      </w:pPr>
      <w:r>
        <w:rPr>
          <w:rFonts w:ascii="DejaVu Serif" w:hAnsi="DejaVu Serif" w:eastAsia="Noto Serif CJK SC"/>
          <w:color w:val="000000"/>
          <w:sz w:val="22"/>
        </w:rPr>
        <w:t xml:space="preserve">The impact of team members on my core assets, and the potential maximum consequences that may arise,</w:t>
      </w:r>
    </w:p>
    <w:p>
      <w:pPr>
        <w:pStyle w:val="BodyText"/>
        <w:spacing w:after="120" w:line="312" w:lineRule="auto"/>
      </w:pPr>
      <w:r>
        <w:rPr>
          <w:rFonts w:ascii="DejaVu Serif" w:hAnsi="DejaVu Serif" w:eastAsia="Noto Serif CJK SC"/>
          <w:color w:val="000000"/>
          <w:sz w:val="22"/>
        </w:rPr>
        <w:t xml:space="preserve">The degree of negative public response, scope of impact, etc., must be in compliance with laws and regulations,</w:t>
      </w:r>
    </w:p>
    <w:p>
      <w:pPr>
        <w:pStyle w:val="BodyText"/>
        <w:spacing w:after="120" w:line="312" w:lineRule="auto"/>
      </w:pPr>
      <w:r>
        <w:rPr>
          <w:rFonts w:ascii="DejaVu Serif" w:hAnsi="DejaVu Serif" w:eastAsia="Noto Serif CJK SC"/>
          <w:color w:val="000000"/>
          <w:sz w:val="22"/>
        </w:rPr>
        <w:t xml:space="preserve">(Applicable after compliance review, especially criminal compliance review, and necessary measures shall be taken when required,)</w:t>
      </w:r>
    </w:p>
    <w:p>
      <w:pPr>
        <w:pStyle w:val="BodyText"/>
        <w:spacing w:after="120" w:line="312" w:lineRule="auto"/>
      </w:pPr>
      <w:r>
        <w:rPr>
          <w:rFonts w:ascii="DejaVu Serif" w:hAnsi="DejaVu Serif" w:eastAsia="Noto Serif CJK SC"/>
          <w:color w:val="000000"/>
          <w:sz w:val="22"/>
        </w:rPr>
        <w:t xml:space="preserve">Add an ethical review环节 .</w:t>
      </w:r>
    </w:p>
    <w:p>
      <w:pPr>
        <w:pStyle w:val="BodyText"/>
        <w:spacing w:after="120" w:line="312" w:lineRule="auto"/>
      </w:pPr>
      <w:r>
        <w:rPr>
          <w:rFonts w:ascii="DejaVu Serif" w:hAnsi="DejaVu Serif" w:eastAsia="Noto Serif CJK SC"/>
          <w:color w:val="000000"/>
          <w:sz w:val="22"/>
        </w:rPr>
        <w:t xml:space="preserve">The provisions of the above Article 14 and Article 15 further affirm this Charter:</w:t>
      </w:r>
    </w:p>
    <w:p>
      <w:pPr>
        <w:pStyle w:val="BodyText"/>
        <w:spacing w:after="120" w:line="312" w:lineRule="auto"/>
      </w:pPr>
      <w:r>
        <w:rPr>
          <w:rFonts w:ascii="DejaVu Serif" w:hAnsi="DejaVu Serif" w:eastAsia="Noto Serif CJK SC"/>
          <w:color w:val="000000"/>
          <w:sz w:val="22"/>
        </w:rPr>
        <w:t xml:space="preserve">The system’s reference to penalty levels such as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fixed-term imprisonment of seven years or more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is based on ”</w:t>
      </w:r>
    </w:p>
    <w:p>
      <w:pPr>
        <w:pStyle w:val="BodyText"/>
        <w:spacing w:after="120" w:line="312" w:lineRule="auto"/>
      </w:pPr>
      <w:r>
        <w:rPr>
          <w:rFonts w:ascii="DejaVu Serif" w:hAnsi="DejaVu Serif" w:eastAsia="Noto Serif CJK SC"/>
          <w:color w:val="000000"/>
          <w:sz w:val="22"/>
        </w:rPr>
        <w:t xml:space="preserve">Risk management as the core institutional logic, rather than the intent to commit crimes.</w:t>
      </w:r>
    </w:p>
    <w:p>
      <w:pPr>
        <w:pStyle w:val="BodyText"/>
        <w:spacing w:after="120" w:line="312" w:lineRule="auto"/>
      </w:pPr>
      <w:r>
        <w:rPr>
          <w:rFonts w:ascii="DejaVu Serif" w:hAnsi="DejaVu Serif" w:eastAsia="Noto Serif CJK SC"/>
          <w:color w:val="000000"/>
          <w:sz w:val="22"/>
        </w:rPr>
        <w:t xml:space="preserve">If the purpose is criminal, then there is no need to establish transitional or temporary ” ” ” ”</w:t>
      </w:r>
    </w:p>
    <w:p>
      <w:pPr>
        <w:pStyle w:val="BodyText"/>
        <w:spacing w:after="120" w:line="312" w:lineRule="auto"/>
      </w:pPr>
      <w:r>
        <w:rPr>
          <w:rFonts w:ascii="DejaVu Serif" w:hAnsi="DejaVu Serif" w:eastAsia="Noto Serif CJK SC"/>
          <w:color w:val="000000"/>
          <w:sz w:val="22"/>
        </w:rPr>
        <w:t xml:space="preserve">Positional restrictions, nor the need to set ROI evaluation, compliance review, ethics</w:t>
      </w:r>
    </w:p>
    <w:p>
      <w:pPr>
        <w:pStyle w:val="BodyText"/>
        <w:spacing w:after="120" w:line="312" w:lineRule="auto"/>
      </w:pPr>
      <w:r>
        <w:rPr>
          <w:rFonts w:ascii="DejaVu Serif" w:hAnsi="DejaVu Serif" w:eastAsia="Noto Serif CJK SC"/>
          <w:color w:val="000000"/>
          <w:sz w:val="22"/>
        </w:rPr>
        <w:t xml:space="preserve">Multi-layered procedural guarantee mechanisms including review.</w:t>
      </w:r>
    </w:p>
    <w:p>
      <w:pPr>
        <w:pStyle w:val="Compact"/>
        <w:numPr>
          <w:ilvl w:val="0"/>
          <w:numId w:val="1141"/>
        </w:numPr>
        <w:spacing w:after="120" w:line="312" w:lineRule="auto"/>
      </w:pPr>
      <w:r>
        <w:rPr>
          <w:rFonts w:ascii="DejaVu Serif" w:hAnsi="DejaVu Serif" w:eastAsia="Noto Serif CJK SC"/>
          <w:color w:val="000000"/>
          <w:sz w:val="22"/>
        </w:rPr>
        <w:t xml:space="preserve">Conclusive Interpretation, ,</w:t>
      </w:r>
    </w:p>
    <w:p>
      <w:pPr>
        <w:pStyle w:val="FirstParagraph"/>
        <w:spacing w:after="120" w:line="312" w:lineRule="auto"/>
      </w:pPr>
      <w:r>
        <w:rPr>
          <w:rFonts w:ascii="DejaVu Serif" w:hAnsi="DejaVu Serif" w:eastAsia="Noto Serif CJK SC"/>
          <w:color w:val="000000"/>
          <w:sz w:val="22"/>
        </w:rPr>
        <w:t xml:space="preserve">In summary, Article 12, Article 13 of the main Charter, and Annex A.07.001</w:t>
      </w:r>
    </w:p>
    <w:p>
      <w:pPr>
        <w:pStyle w:val="BodyText"/>
        <w:spacing w:after="120" w:line="312" w:lineRule="auto"/>
      </w:pPr>
      <w:r>
        <w:rPr>
          <w:rFonts w:ascii="DejaVu Serif" w:hAnsi="DejaVu Serif" w:eastAsia="Noto Serif CJK SC"/>
          <w:color w:val="000000"/>
          <w:sz w:val="22"/>
        </w:rPr>
        <w:t xml:space="preserve">the expression of penalty levels such as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fixed-term imprisonment of seven years or more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Article 5 ”</w:t>
      </w:r>
    </w:p>
    <w:p>
      <w:pPr>
        <w:pStyle w:val="BodyText"/>
        <w:spacing w:after="120" w:line="312" w:lineRule="auto"/>
      </w:pPr>
      <w:r>
        <w:rPr>
          <w:rFonts w:ascii="DejaVu Serif" w:hAnsi="DejaVu Serif" w:eastAsia="Noto Serif CJK SC"/>
          <w:color w:val="000000"/>
          <w:sz w:val="22"/>
        </w:rPr>
        <w:t xml:space="preserve">The true meaning is:</w:t>
      </w:r>
    </w:p>
    <w:p>
      <w:pPr>
        <w:pStyle w:val="BodyText"/>
        <w:spacing w:after="120" w:line="312" w:lineRule="auto"/>
      </w:pPr>
      <w:r>
        <w:rPr>
          <w:rFonts w:ascii="DejaVu Serif" w:hAnsi="DejaVu Serif" w:eastAsia="Noto Serif CJK SC"/>
          <w:color w:val="000000"/>
          <w:sz w:val="22"/>
        </w:rPr>
        <w:t xml:space="preserve">The severity of these penalties is cited as a boundary scale for behavioral risk, meaning that if a certain act is carried out, there exists a risk or a significant risk of constituting such a crime in specific circumstances. The Charter-Maker sets these penalty severities as insurmountable risk boundaries for themselves, and in extreme circumstances,</w:t>
      </w:r>
    </w:p>
    <w:p>
      <w:pPr>
        <w:pStyle w:val="BodyText"/>
        <w:spacing w:after="120" w:line="312" w:lineRule="auto"/>
      </w:pPr>
      <w:r>
        <w:rPr>
          <w:rFonts w:ascii="DejaVu Serif" w:hAnsi="DejaVu Serif" w:eastAsia="Noto Serif CJK SC"/>
          <w:color w:val="000000"/>
          <w:sz w:val="22"/>
        </w:rPr>
        <w:t xml:space="preserve">After undergoing a rigorous review process, limited risks may be accepted. The said expressions.</w:t>
      </w:r>
    </w:p>
    <w:p>
      <w:pPr>
        <w:pStyle w:val="BodyText"/>
        <w:spacing w:after="120" w:line="312" w:lineRule="auto"/>
      </w:pPr>
      <w:r>
        <w:rPr>
          <w:rFonts w:ascii="DejaVu Serif" w:hAnsi="DejaVu Serif" w:eastAsia="Noto Serif CJK SC"/>
          <w:color w:val="000000"/>
          <w:sz w:val="22"/>
        </w:rPr>
        <w:t xml:space="preserve">Never means that the Charter-Maker acts with the purpose of committing a crime by receiving,</w:t>
      </w:r>
    </w:p>
    <w:p>
      <w:pPr>
        <w:pStyle w:val="Compact"/>
        <w:numPr>
          <w:ilvl w:val="0"/>
          <w:numId w:val="1142"/>
        </w:numPr>
        <w:spacing w:after="120" w:line="312" w:lineRule="auto"/>
      </w:pPr>
      <w:r>
        <w:rPr>
          <w:rFonts w:ascii="DejaVu Serif" w:hAnsi="DejaVu Serif" w:eastAsia="Noto Serif CJK SC"/>
          <w:color w:val="000000"/>
          <w:sz w:val="22"/>
        </w:rPr>
        <w:t xml:space="preserve">Provision on Effectiveness</w:t>
      </w:r>
    </w:p>
    <w:p>
      <w:pPr>
        <w:numPr>
          <w:ilvl w:val="0"/>
          <w:numId w:val="1143"/>
        </w:numPr>
        <w:spacing w:after="120" w:line="312" w:lineRule="auto"/>
      </w:pPr>
      <w:r>
        <w:rPr>
          <w:rFonts w:ascii="DejaVu Serif" w:hAnsi="DejaVu Serif" w:eastAsia="Noto Serif CJK SC"/>
          <w:color w:val="000000"/>
          <w:sz w:val="22"/>
        </w:rPr>
        <w:t xml:space="preserve">This Interpretive Letter constitutes the authoritative interpretation of Article 12, Article 13, and Article 5 of Annex A.07.001 of the main Charter, and shall have the same effect as the main Charter, with retroactive application from the date of entry into force of the main Charter.</w:t>
      </w:r>
    </w:p>
    <w:p>
      <w:pPr>
        <w:numPr>
          <w:ilvl w:val="0"/>
          <w:numId w:val="1143"/>
        </w:numPr>
        <w:spacing w:after="120" w:line="312" w:lineRule="auto"/>
      </w:pPr>
      <w:r>
        <w:rPr>
          <w:rFonts w:ascii="DejaVu Serif" w:hAnsi="DejaVu Serif" w:eastAsia="Noto Serif CJK SC"/>
          <w:color w:val="000000"/>
          <w:sz w:val="22"/>
        </w:rPr>
        <w:t xml:space="preserve">The right to interpret this Interpretive Letter belongs to the Charter-Maker.</w:t>
      </w:r>
    </w:p>
    <w:p>
      <w:pPr>
        <w:numPr>
          <w:ilvl w:val="0"/>
          <w:numId w:val="1143"/>
        </w:numPr>
        <w:spacing w:after="120" w:line="312" w:lineRule="auto"/>
      </w:pPr>
      <w:r>
        <w:rPr>
          <w:rFonts w:ascii="DejaVu Serif" w:hAnsi="DejaVu Serif" w:eastAsia="Noto Serif CJK SC"/>
          <w:color w:val="000000"/>
          <w:sz w:val="22"/>
        </w:rPr>
        <w:t xml:space="preserve">In the event of a conflict between this Interpretive Letter and other provisions of the main Charter, the Amendments, and the Annex system, the text of the main Charter, the Amendments, and the Annex system shall prevail; this Interpretive Letter serves only to clarify the meaning of the original text and does not constitute an amendment or modification thereof.</w:t>
      </w:r>
    </w:p>
    <w:p>
      <w:pPr>
        <w:numPr>
          <w:ilvl w:val="0"/>
          <w:numId w:val="1143"/>
        </w:numPr>
        <w:spacing w:after="120" w:line="312" w:lineRule="auto"/>
      </w:pPr>
      <w:r>
        <w:rPr>
          <w:rFonts w:ascii="DejaVu Serif" w:hAnsi="DejaVu Serif" w:eastAsia="Noto Serif CJK SC"/>
          <w:color w:val="000000"/>
          <w:sz w:val="22"/>
        </w:rPr>
        <w:t xml:space="preserve">This Interpretive Letter is the first in the series of Interpretive Letters (Series H).</w:t>
      </w:r>
    </w:p>
    <w:p>
      <w:pPr>
        <w:numPr>
          <w:ilvl w:val="0"/>
          <w:numId w:val="1143"/>
        </w:numPr>
        <w:spacing w:after="120" w:line="312" w:lineRule="auto"/>
      </w:pPr>
      <w:r>
        <w:rPr>
          <w:rFonts w:ascii="DejaVu Serif" w:hAnsi="DejaVu Serif" w:eastAsia="Noto Serif CJK SC"/>
          <w:color w:val="000000"/>
          <w:sz w:val="22"/>
        </w:rPr>
        <w:t xml:space="preserve">Subsequent Interpretive Letters, if any, shall be numbered sequentially.</w:t>
      </w:r>
    </w:p>
    <w:p>
      <w:pPr>
        <w:pStyle w:val="FirstParagraph"/>
        <w:spacing w:after="120" w:line="312" w:lineRule="auto"/>
      </w:pPr>
      <w:r>
        <w:rPr>
          <w:rFonts w:ascii="DejaVu Serif" w:hAnsi="DejaVu Serif" w:eastAsia="Noto Serif CJK SC"/>
          <w:color w:val="000000"/>
          <w:sz w:val="22"/>
        </w:rPr>
        <w:t xml:space="preserve">Charter-Maker: Sun Yujun (For Approval and Authorization)</w:t>
      </w:r>
    </w:p>
    <w:p>
      <w:pPr>
        <w:pStyle w:val="BodyText"/>
        <w:spacing w:after="120" w:line="312" w:lineRule="auto"/>
      </w:pPr>
      <w:r>
        <w:rPr>
          <w:rFonts w:ascii="DejaVu Serif" w:hAnsi="DejaVu Serif" w:eastAsia="Noto Serif CJK SC"/>
          <w:color w:val="000000"/>
          <w:sz w:val="22"/>
        </w:rPr>
        <w:t xml:space="preserve">Date: August 12, 2026</w:t>
      </w:r>
    </w:p>
    <w:p>
      <w:pPr>
        <w:spacing w:after="120" w:line="312" w:lineRule="auto"/>
      </w:pPr>
      <w:r>
        <w:rPr>
          <w:rFonts w:ascii="DejaVu Serif" w:hAnsi="DejaVu Serif" w:eastAsia="Noto Serif CJK SC"/>
          <w:color w:val="000000"/>
          <w:sz w:val="22"/>
        </w:rPr>
        <w:pict>
          <v:rect style="width:0;height:1.5pt" o:hralign="center" o:hrstd="t" o:hr="t"/>
        </w:pict>
      </w:r>
    </w:p>
    <w:bookmarkEnd w:id="270"/>
    <w:bookmarkEnd w:id="271"/>
    <w:bookmarkStart w:id="273" w:name="system-integration"/>
    <w:p>
      <w:pPr>
        <w:pStyle w:val="Heading2"/>
        <w:spacing w:after="160" w:line="312" w:lineRule="auto"/>
        <w:jc w:val="left"/>
      </w:pPr>
      <w:r>
        <w:rPr>
          <w:rFonts w:ascii="DejaVu Serif" w:hAnsi="DejaVu Serif" w:eastAsia="Noto Serif CJK SC"/>
          <w:color w:val="000000"/>
          <w:sz w:val="30"/>
        </w:rPr>
        <w:t xml:space="preserve">System Integration</w:t>
      </w:r>
    </w:p>
    <w:bookmarkStart w:id="272" w:name="Xf7a3fdd74b103c704a4d0c13458384951fbbcae"/>
    <w:p>
      <w:pPr>
        <w:pStyle w:val="Heading3"/>
        <w:spacing w:after="120" w:line="312" w:lineRule="auto"/>
        <w:jc w:val="left"/>
      </w:pPr>
      <w:r>
        <w:rPr>
          <w:rFonts w:ascii="DejaVu Serif" w:hAnsi="DejaVu Serif" w:eastAsia="Noto Serif CJK SC"/>
          <w:color w:val="000000"/>
          <w:sz w:val="26"/>
        </w:rPr>
        <w:t xml:space="preserve">“</w:t>
      </w:r>
      <w:r>
        <w:rPr>
          <w:rFonts w:ascii="DejaVu Serif" w:hAnsi="DejaVu Serif" w:eastAsia="Noto Serif CJK SC"/>
          <w:color w:val="000000"/>
          <w:sz w:val="26"/>
        </w:rPr>
        <w:t xml:space="preserve">Verbatim Full Text of the Purpose and Preamble of the Charter of Life Action</w:t>
      </w:r>
      <w:r>
        <w:rPr>
          <w:rFonts w:ascii="DejaVu Serif" w:hAnsi="DejaVu Serif" w:eastAsia="Noto Serif CJK SC"/>
          <w:color w:val="000000"/>
          <w:sz w:val="26"/>
        </w:rPr>
        <w:t xml:space="preserve">”</w:t>
      </w:r>
    </w:p>
    <w:p>
      <w:pPr>
        <w:pStyle w:val="FirstParagraph"/>
        <w:spacing w:after="120" w:line="312" w:lineRule="auto"/>
      </w:pPr>
      <w:r>
        <w:rPr>
          <w:rFonts w:ascii="DejaVu Serif" w:hAnsi="DejaVu Serif" w:eastAsia="Noto Serif CJK SC"/>
          <w:color w:val="000000"/>
          <w:sz w:val="22"/>
        </w:rPr>
        <w:t xml:space="preserve">【Verbatim Full Text】</w:t>
      </w:r>
    </w:p>
    <w:p>
      <w:pPr>
        <w:pStyle w:val="BodyText"/>
        <w:spacing w:after="120" w:line="312" w:lineRule="auto"/>
      </w:pPr>
      <w:r>
        <w:rPr>
          <w:rFonts w:ascii="DejaVu Serif" w:hAnsi="DejaVu Serif" w:eastAsia="Noto Serif CJK SC"/>
          <w:color w:val="000000"/>
          <w:sz w:val="22"/>
        </w:rPr>
        <w:t xml:space="preserve">With the concept of cosmic citizenship, this declares the fundamental purpose and stance of my life actions:</w:t>
      </w:r>
    </w:p>
    <w:p>
      <w:pPr>
        <w:pStyle w:val="BodyText"/>
        <w:spacing w:after="120" w:line="312" w:lineRule="auto"/>
      </w:pPr>
      <w:r>
        <w:rPr>
          <w:rFonts w:ascii="DejaVu Serif" w:hAnsi="DejaVu Serif" w:eastAsia="Noto Serif CJK SC"/>
          <w:color w:val="000000"/>
          <w:sz w:val="22"/>
        </w:rPr>
        <w:t xml:space="preserve">I. Fundamental Stance: Explorer, Not Problem-Solver</w:t>
      </w:r>
    </w:p>
    <w:p>
      <w:pPr>
        <w:pStyle w:val="BodyText"/>
        <w:spacing w:after="120" w:line="312" w:lineRule="auto"/>
      </w:pPr>
      <w:r>
        <w:rPr>
          <w:rFonts w:ascii="DejaVu Serif" w:hAnsi="DejaVu Serif" w:eastAsia="Noto Serif CJK SC"/>
          <w:color w:val="000000"/>
          <w:sz w:val="22"/>
        </w:rPr>
        <w:t xml:space="preserve">The aspiration of my life is not to conform to any established system and seek a perfect score by providing standard answers. My path lies in, with an independent spirit and free thought, exhausting all possibilities of myself and all things, in pursuit of the comprehensiveness and accuracy of truth. This is the calling of an explorer, which is essentially different from 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problem-solver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who merely follows the directives of external authorities.</w:t>
      </w:r>
    </w:p>
    <w:p>
      <w:pPr>
        <w:pStyle w:val="Compact"/>
        <w:numPr>
          <w:ilvl w:val="0"/>
          <w:numId w:val="1144"/>
        </w:numPr>
        <w:spacing w:after="120" w:line="312" w:lineRule="auto"/>
      </w:pPr>
      <w:r>
        <w:rPr>
          <w:rFonts w:ascii="DejaVu Serif" w:hAnsi="DejaVu Serif" w:eastAsia="Noto Serif CJK SC"/>
          <w:color w:val="000000"/>
          <w:sz w:val="22"/>
        </w:rPr>
        <w:t xml:space="preserve">Core Tenet: Truth Above Position, Law Above Rules What I seek 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what is true,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not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what is right.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Right and wrong</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are often defined by specific positions and systems, whereas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true and false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pertain to objective facts and universal laws.</w:t>
      </w:r>
    </w:p>
    <w:p>
      <w:pPr>
        <w:pStyle w:val="FirstParagraph"/>
        <w:spacing w:after="120" w:line="312" w:lineRule="auto"/>
      </w:pPr>
      <w:r>
        <w:rPr>
          <w:rFonts w:ascii="DejaVu Serif" w:hAnsi="DejaVu Serif" w:eastAsia="Noto Serif CJK SC"/>
          <w:color w:val="000000"/>
          <w:sz w:val="22"/>
        </w:rPr>
        <w:t xml:space="preserve">The highest law I follow is objective law (the Heavenly Way), not man-made statutes. Statutes are necessary conventions for social coexistence, to which I give due respect, yet I regard them as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one option,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not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sole correct answer.</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When man-made statutes fundamentally conflict with objective law and human nature, my choice will be made after careful consideration, tending towards upholding law and nature. This is the spiritual origin of the principles of integrity and voluntariness, and also a loyalty to truth of a higher dimension.</w:t>
      </w:r>
    </w:p>
    <w:p>
      <w:pPr>
        <w:pStyle w:val="Compact"/>
        <w:numPr>
          <w:ilvl w:val="0"/>
          <w:numId w:val="1145"/>
        </w:numPr>
        <w:spacing w:after="120" w:line="312" w:lineRule="auto"/>
      </w:pPr>
      <w:r>
        <w:rPr>
          <w:rFonts w:ascii="DejaVu Serif" w:hAnsi="DejaVu Serif" w:eastAsia="Noto Serif CJK SC"/>
          <w:color w:val="000000"/>
          <w:sz w:val="22"/>
        </w:rPr>
        <w:t xml:space="preserve">Ultimate Pursuit: Freedom and Creation My success lies not in climbing pyramids built by others, but in constructing a kingdom of my own and maintaining the absolute freedom to enter or leave any external structure. I use laws as blueprints, statutes as tools, and my original heart as a compass, aiming for the comprehensive development of my character, and ultimately achieving the ideal life state of traveling and investing in ventures, and freely directing my life.</w:t>
      </w:r>
    </w:p>
    <w:p>
      <w:pPr>
        <w:pStyle w:val="FirstParagraph"/>
        <w:spacing w:after="120" w:line="312" w:lineRule="auto"/>
      </w:pPr>
      <w:r>
        <w:rPr>
          <w:rFonts w:ascii="DejaVu Serif" w:hAnsi="DejaVu Serif" w:eastAsia="Noto Serif CJK SC"/>
          <w:color w:val="000000"/>
          <w:sz w:val="22"/>
        </w:rPr>
        <w:t xml:space="preserve">Based on the aforementioned unshakable fundamental position, this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Charter of Life Action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is hereby enacted as the supreme guidance for all thought and action.</w:t>
      </w:r>
    </w:p>
    <w:p>
      <w:pPr>
        <w:pStyle w:val="BodyText"/>
        <w:spacing w:after="120" w:line="312" w:lineRule="auto"/>
      </w:pPr>
      <w:r>
        <w:rPr>
          <w:rFonts w:ascii="DejaVu Serif" w:hAnsi="DejaVu Serif" w:eastAsia="Noto Serif CJK SC"/>
          <w:color w:val="000000"/>
          <w:sz w:val="22"/>
        </w:rPr>
        <w:t xml:space="preserve">Based on the above unshakable fundamental standpoint, this Charter of Life Actions is specially formulated as the highest guide for all thoughts and actions. Sur la base de la position fondamentale inébranlable ci-dessus, la présente Charte des Actions de la Vie est spécialement formulée comme le guide suprême pour toutes les pensées et actions.</w:t>
      </w:r>
    </w:p>
    <w:p>
      <w:pPr>
        <w:spacing w:after="120" w:line="312" w:lineRule="auto"/>
      </w:pPr>
      <w:r>
        <w:rPr>
          <w:rFonts w:ascii="DejaVu Serif" w:hAnsi="DejaVu Serif" w:eastAsia="Noto Serif CJK SC"/>
          <w:color w:val="000000"/>
          <w:sz w:val="22"/>
        </w:rPr>
        <w:pict>
          <v:rect style="width:0;height:1.5pt" o:hralign="center" o:hrstd="t" o:hr="t"/>
        </w:pict>
      </w:r>
    </w:p>
    <w:bookmarkEnd w:id="272"/>
    <w:bookmarkEnd w:id="273"/>
    <w:bookmarkStart w:id="276" w:name="z-series-major-documents-index-only"/>
    <w:p>
      <w:pPr>
        <w:pStyle w:val="Heading2"/>
        <w:spacing w:after="160" w:line="312" w:lineRule="auto"/>
        <w:jc w:val="left"/>
      </w:pPr>
      <w:r>
        <w:rPr>
          <w:rFonts w:ascii="DejaVu Serif" w:hAnsi="DejaVu Serif" w:eastAsia="Noto Serif CJK SC"/>
          <w:color w:val="000000"/>
          <w:sz w:val="30"/>
        </w:rPr>
        <w:t xml:space="preserve">Z-Series · Major Documents (Index Only)</w:t>
      </w:r>
    </w:p>
    <w:bookmarkStart w:id="274" w:name="Xc3303007d1b1eb8a761d2994675696db1d191b9"/>
    <w:p>
      <w:pPr>
        <w:pStyle w:val="Heading3"/>
        <w:spacing w:after="120" w:line="312" w:lineRule="auto"/>
        <w:jc w:val="left"/>
      </w:pPr>
      <w:r>
        <w:rPr>
          <w:rFonts w:ascii="DejaVu Serif" w:hAnsi="DejaVu Serif" w:eastAsia="Noto Serif CJK SC"/>
          <w:color w:val="000000"/>
          <w:sz w:val="26"/>
        </w:rPr>
        <w:t xml:space="preserve">Annex A.07.001</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The Code of Ethics and Etiquette (Grand Code)</w:t>
      </w:r>
      <w:r>
        <w:rPr>
          <w:rFonts w:ascii="DejaVu Serif" w:hAnsi="DejaVu Serif" w:eastAsia="Noto Serif CJK SC"/>
          <w:color w:val="000000"/>
          <w:sz w:val="26"/>
        </w:rPr>
        <w:t xml:space="preserve">”</w:t>
      </w:r>
    </w:p>
    <w:p>
      <w:pPr>
        <w:pStyle w:val="FirstParagraph"/>
        <w:spacing w:after="120" w:line="312" w:lineRule="auto"/>
      </w:pPr>
      <w:r>
        <w:rPr>
          <w:rFonts w:ascii="DejaVu Serif" w:hAnsi="DejaVu Serif" w:eastAsia="Noto Serif CJK SC"/>
          <w:color w:val="000000"/>
          <w:sz w:val="22"/>
        </w:rPr>
        <w:t xml:space="preserve">Comprising thirty-seven Articles, effective May 17, 2026; the largest single document in the system, which will regulate from the legal baseline to the moral high ground, defining the insurmountable ethical red lines (absolute baseline ethics), core relational ethics, interpersonal etiquette, ethical accountability measures (from spontaneous warnings to expulsion), and the social vision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civilized success.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Includes supporting Annex A.07.001-A1</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Statement of Reservations on Certain Articles of the Code of Ethics and Etiquette (Grand Code)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(comprising nine Articles). The full text is also available in the original document; this compilation only lists the index and does not reproduce the full text.</w:t>
      </w:r>
    </w:p>
    <w:p>
      <w:pPr>
        <w:spacing w:after="120" w:line="312" w:lineRule="auto"/>
      </w:pPr>
      <w:r>
        <w:rPr>
          <w:rFonts w:ascii="DejaVu Serif" w:hAnsi="DejaVu Serif" w:eastAsia="Noto Serif CJK SC"/>
          <w:color w:val="000000"/>
          <w:sz w:val="22"/>
        </w:rPr>
        <w:pict>
          <v:rect style="width:0;height:1.5pt" o:hralign="center" o:hrstd="t" o:hr="t"/>
        </w:pict>
      </w:r>
    </w:p>
    <w:bookmarkEnd w:id="274"/>
    <w:bookmarkStart w:id="275" w:name="X886a4297e1a4ace90a16f36dfd841a96beb3b5b"/>
    <w:p>
      <w:pPr>
        <w:pStyle w:val="Heading3"/>
        <w:spacing w:after="120" w:line="312" w:lineRule="auto"/>
        <w:jc w:val="left"/>
      </w:pPr>
      <w:r>
        <w:rPr>
          <w:rFonts w:ascii="DejaVu Serif" w:hAnsi="DejaVu Serif" w:eastAsia="Noto Serif CJK SC"/>
          <w:color w:val="000000"/>
          <w:sz w:val="26"/>
        </w:rPr>
        <w:t xml:space="preserve">Annex D.02.001</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The Grand Code of Safe Life Action</w:t>
      </w:r>
      <w:r>
        <w:rPr>
          <w:rFonts w:ascii="DejaVu Serif" w:hAnsi="DejaVu Serif" w:eastAsia="Noto Serif CJK SC"/>
          <w:color w:val="000000"/>
          <w:sz w:val="26"/>
        </w:rPr>
        <w:t xml:space="preserve">”</w:t>
      </w:r>
    </w:p>
    <w:p>
      <w:pPr>
        <w:pStyle w:val="FirstParagraph"/>
        <w:spacing w:after="120" w:line="312" w:lineRule="auto"/>
      </w:pPr>
      <w:r>
        <w:rPr>
          <w:rFonts w:ascii="DejaVu Serif" w:hAnsi="DejaVu Serif" w:eastAsia="Noto Serif CJK SC"/>
          <w:color w:val="000000"/>
          <w:sz w:val="22"/>
        </w:rPr>
        <w:t xml:space="preserve">Includes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Grand Code of Friendly Cooperation and Etiquette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(eighty-five Articles) and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Grand Code on Breach of Contract Liability for Non-Partner Cooperators.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full text is also available in the original document; this compilation only lists the index and does not reproduce the full text.</w:t>
      </w:r>
    </w:p>
    <w:p>
      <w:pPr>
        <w:spacing w:after="120" w:line="312" w:lineRule="auto"/>
      </w:pPr>
      <w:r>
        <w:rPr>
          <w:rFonts w:ascii="DejaVu Serif" w:hAnsi="DejaVu Serif" w:eastAsia="Noto Serif CJK SC"/>
          <w:color w:val="000000"/>
          <w:sz w:val="22"/>
        </w:rPr>
        <w:pict>
          <v:rect style="width:0;height:1.5pt" o:hralign="center" o:hrstd="t" o:hr="t"/>
        </w:pict>
      </w:r>
    </w:p>
    <w:bookmarkEnd w:id="275"/>
    <w:bookmarkEnd w:id="276"/>
    <w:bookmarkEnd w:id="277"/>
    <w:bookmarkStart w:id="278" w:name="part-iv-appendix-index"/>
    <w:p>
      <w:pPr>
        <w:pStyle w:val="Heading1"/>
        <w:spacing w:after="240" w:line="312" w:lineRule="auto"/>
        <w:jc w:val="center"/>
      </w:pPr>
      <w:r>
        <w:rPr>
          <w:rFonts w:ascii="DejaVu Serif" w:hAnsi="DejaVu Serif" w:eastAsia="Noto Serif CJK SC"/>
          <w:color w:val="000000"/>
          <w:sz w:val="34"/>
        </w:rPr>
        <w:t xml:space="preserve">Part IV · Appendix Index</w:t>
      </w:r>
    </w:p>
    <w:p>
      <w:pPr>
        <w:pStyle w:val="FirstParagraph"/>
        <w:spacing w:after="120" w:line="312" w:lineRule="auto"/>
      </w:pPr>
      <w:r>
        <w:rPr>
          <w:rFonts w:ascii="DejaVu Serif" w:hAnsi="DejaVu Serif" w:eastAsia="Noto Serif CJK SC"/>
          <w:color w:val="000000"/>
          <w:sz w:val="22"/>
        </w:rPr>
        <w:t xml:space="preserve">This section is the index for the annex system, appendix system, and system overview of the comprehensive directory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Charter of Life Action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institutional system, for reference purposes. Appendices are filing/archival/supplementary documents and are not counted as formal Articles.</w:t>
      </w:r>
    </w:p>
    <w:bookmarkEnd w:id="278"/>
    <w:bookmarkStart w:id="306" w:name="Xbe55e05754d4bbe56c5f60fc8a50a7c34ee530e"/>
    <w:p>
      <w:pPr>
        <w:pStyle w:val="Heading1"/>
        <w:spacing w:after="240" w:line="312" w:lineRule="auto"/>
        <w:jc w:val="center"/>
      </w:pPr>
      <w:r>
        <w:rPr>
          <w:rFonts w:ascii="DejaVu Serif" w:hAnsi="DejaVu Serif" w:eastAsia="Noto Serif CJK SC"/>
          <w:color w:val="000000"/>
          <w:sz w:val="34"/>
        </w:rPr>
        <w:t xml:space="preserve">Volume III · Annex System (Mandatory Implementation Details)</w:t>
      </w:r>
    </w:p>
    <w:p>
      <w:pPr>
        <w:pStyle w:val="BlockText"/>
        <w:spacing w:after="120" w:line="312" w:lineRule="auto"/>
      </w:pPr>
      <w:r>
        <w:rPr>
          <w:rFonts w:ascii="DejaVu Serif" w:hAnsi="DejaVu Serif" w:eastAsia="Noto Serif CJK SC"/>
          <w:b/>
          <w:bCs/>
          <w:color w:val="000000"/>
          <w:sz w:val="22"/>
        </w:rPr>
        <w:t xml:space="preserve">Total Number of Articles: Calculated as the sum of all annexes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(including the original 111 Articles and A.08.001, D.02.001, G.01.001, H.01.001, etc., possessing the same mandatory force as the main Charter)</w:t>
      </w:r>
    </w:p>
    <w:bookmarkStart w:id="287" w:name="a-series-personal-ethics-and-life"/>
    <w:p>
      <w:pPr>
        <w:pStyle w:val="Heading2"/>
        <w:spacing w:after="160" w:line="312" w:lineRule="auto"/>
        <w:jc w:val="left"/>
      </w:pPr>
      <w:r>
        <w:rPr>
          <w:rFonts w:ascii="DejaVu Serif" w:hAnsi="DejaVu Serif" w:eastAsia="Noto Serif CJK SC"/>
          <w:color w:val="000000"/>
          <w:sz w:val="30"/>
        </w:rPr>
        <w:t xml:space="preserve">A-Series · Personal Ethics and Life</w:t>
      </w:r>
    </w:p>
    <w:bookmarkStart w:id="279" w:name="X451be9fb7d08b96c8e7426d2c19a3108bbe9c92"/>
    <w:p>
      <w:pPr>
        <w:pStyle w:val="Heading3"/>
        <w:spacing w:after="120" w:line="312" w:lineRule="auto"/>
        <w:jc w:val="left"/>
      </w:pPr>
      <w:r>
        <w:rPr>
          <w:rFonts w:ascii="DejaVu Serif" w:hAnsi="DejaVu Serif" w:eastAsia="Noto Serif CJK SC"/>
          <w:color w:val="000000"/>
          <w:sz w:val="26"/>
        </w:rPr>
        <w:t xml:space="preserve">A.01.001: Criteria for Economic Aid Decisions</w:t>
      </w:r>
    </w:p>
    <w:tbl>
      <w:tblPr>
        <w:tblStyle w:val="Table"/>
        <w:tblW w:type="pct" w:w="5000"/>
        <w:jc w:val="left"/>
        <w:tblLayout w:type="fixed"/>
        <w:tblLook w:firstRow="1" w:lastRow="0" w:firstColumn="0" w:lastColumn="0" w:noHBand="0" w:noVBand="0" w:val="002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3960"/>
        <w:gridCol w:w="3960"/>
      </w:tblGrid>
      <w:tr>
        <w:trPr>
          <w:tblHeader w:val="on"/>
        </w:trPr>
        <w:tc>
          <w:tcPr/>
          <w:p>
            <w:pPr>
              <w:pStyle w:val="Compact"/>
              <w:spacing w:after="40" w:line="288" w:lineRule="auto"/>
              <w:jc w:val="left"/>
            </w:pPr>
            <w:r>
              <w:rPr>
                <w:rFonts w:ascii="DejaVu Serif" w:hAnsi="DejaVu Serif" w:eastAsia="Noto Sans CJK SC"/>
                <w:color w:val="000000"/>
                <w:sz w:val="19"/>
              </w:rPr>
              <w:t xml:space="preserve">Attribute</w:t>
            </w:r>
          </w:p>
        </w:tc>
        <w:tc>
          <w:tcPr/>
          <w:p>
            <w:pPr>
              <w:pStyle w:val="Compact"/>
              <w:spacing w:after="40" w:line="288" w:lineRule="auto"/>
              <w:jc w:val="left"/>
            </w:pPr>
            <w:r>
              <w:rPr>
                <w:rFonts w:ascii="DejaVu Serif" w:hAnsi="DejaVu Serif" w:eastAsia="Noto Sans CJK SC"/>
                <w:color w:val="000000"/>
                <w:sz w:val="19"/>
              </w:rPr>
              <w:t xml:space="preserve">Content</w:t>
            </w:r>
          </w:p>
        </w:tc>
      </w:tr>
      <w:tr>
        <w:tc>
          <w:tcPr/>
          <w:p>
            <w:pPr>
              <w:pStyle w:val="Compact"/>
              <w:spacing w:after="40" w:line="288" w:lineRule="auto"/>
              <w:jc w:val="left"/>
            </w:pPr>
            <w:r>
              <w:rPr>
                <w:rFonts w:ascii="DejaVu Serif" w:hAnsi="DejaVu Serif" w:eastAsia="Noto Sans CJK SC"/>
                <w:b/>
                <w:bCs/>
                <w:color w:val="000000"/>
                <w:sz w:val="19"/>
              </w:rPr>
              <w:t xml:space="preserve">Number of Articles</w:t>
            </w:r>
          </w:p>
        </w:tc>
        <w:tc>
          <w:tcPr/>
          <w:p>
            <w:pPr>
              <w:pStyle w:val="Compact"/>
              <w:spacing w:after="40" w:line="288" w:lineRule="auto"/>
              <w:jc w:val="left"/>
            </w:pPr>
            <w:r>
              <w:rPr>
                <w:rFonts w:ascii="DejaVu Serif" w:hAnsi="DejaVu Serif" w:eastAsia="Noto Sans CJK SC"/>
                <w:b/>
                <w:bCs/>
                <w:color w:val="000000"/>
                <w:sz w:val="19"/>
              </w:rPr>
              <w:t xml:space="preserve">+10 Articles</w:t>
            </w:r>
          </w:p>
        </w:tc>
      </w:tr>
      <w:tr>
        <w:tc>
          <w:tcPr/>
          <w:p>
            <w:pPr>
              <w:pStyle w:val="Compact"/>
              <w:spacing w:after="40" w:line="288" w:lineRule="auto"/>
              <w:jc w:val="left"/>
            </w:pPr>
            <w:r>
              <w:rPr>
                <w:rFonts w:ascii="DejaVu Serif" w:hAnsi="DejaVu Serif" w:eastAsia="Noto Sans CJK SC"/>
                <w:b/>
                <w:bCs/>
                <w:color w:val="000000"/>
                <w:sz w:val="19"/>
              </w:rPr>
              <w:t xml:space="preserve">Positioning</w:t>
            </w:r>
          </w:p>
        </w:tc>
        <w:tc>
          <w:tcPr/>
          <w:p>
            <w:pPr>
              <w:pStyle w:val="Compact"/>
              <w:spacing w:after="40" w:line="288" w:lineRule="auto"/>
              <w:jc w:val="left"/>
            </w:pPr>
            <w:r>
              <w:rPr>
                <w:rFonts w:ascii="DejaVu Serif" w:hAnsi="DejaVu Serif" w:eastAsia="Noto Sans CJK SC"/>
                <w:color w:val="000000"/>
                <w:sz w:val="19"/>
              </w:rPr>
              <w:t xml:space="preserve">Detailed review process and decision standards for providing financial assistance to specific relatives such as younger siblings</w:t>
            </w:r>
          </w:p>
        </w:tc>
      </w:tr>
      <w:tr>
        <w:tc>
          <w:tcPr/>
          <w:p>
            <w:pPr>
              <w:pStyle w:val="Compact"/>
              <w:spacing w:after="40" w:line="288" w:lineRule="auto"/>
              <w:jc w:val="left"/>
            </w:pPr>
            <w:r>
              <w:rPr>
                <w:rFonts w:ascii="DejaVu Serif" w:hAnsi="DejaVu Serif" w:eastAsia="Noto Sans CJK SC"/>
                <w:b/>
                <w:bCs/>
                <w:color w:val="000000"/>
                <w:sz w:val="19"/>
              </w:rPr>
              <w:t xml:space="preserve">Core Principles</w:t>
            </w:r>
          </w:p>
        </w:tc>
        <w:tc>
          <w:tcPr/>
          <w:p>
            <w:pPr>
              <w:pStyle w:val="Compact"/>
              <w:spacing w:after="40" w:line="288" w:lineRule="auto"/>
              <w:jc w:val="left"/>
            </w:pPr>
            <w:r>
              <w:rPr>
                <w:rFonts w:ascii="DejaVu Serif" w:hAnsi="DejaVu Serif" w:eastAsia="Noto Sans CJK SC"/>
                <w:color w:val="000000"/>
                <w:sz w:val="19"/>
              </w:rPr>
              <w:t xml:space="preserve">Emphasizing</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investment-oriented</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rather than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relief-oriented</w:t>
            </w:r>
            <w:r>
              <w:rPr>
                <w:rFonts w:ascii="DejaVu Serif" w:hAnsi="DejaVu Serif" w:eastAsia="Noto Sans CJK SC"/>
                <w:color w:val="000000"/>
                <w:sz w:val="19"/>
              </w:rPr>
              <w:t xml:space="preserve">”</w:t>
            </w:r>
          </w:p>
        </w:tc>
      </w:tr>
    </w:tbl>
    <w:bookmarkEnd w:id="279"/>
    <w:bookmarkStart w:id="280" w:name="X1349c76d9749b0bd4c659cf89b3abf68f876ab9"/>
    <w:p>
      <w:pPr>
        <w:pStyle w:val="Heading3"/>
        <w:spacing w:after="120" w:line="312" w:lineRule="auto"/>
        <w:jc w:val="left"/>
      </w:pPr>
      <w:r>
        <w:rPr>
          <w:rFonts w:ascii="DejaVu Serif" w:hAnsi="DejaVu Serif" w:eastAsia="Noto Serif CJK SC"/>
          <w:color w:val="000000"/>
          <w:sz w:val="26"/>
        </w:rPr>
        <w:t xml:space="preserve">A.02.001: Exemption List for the</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Principle of Non-essential Assistance</w:t>
      </w:r>
      <w:r>
        <w:rPr>
          <w:rFonts w:ascii="DejaVu Serif" w:hAnsi="DejaVu Serif" w:eastAsia="Noto Serif CJK SC"/>
          <w:color w:val="000000"/>
          <w:sz w:val="26"/>
        </w:rPr>
        <w:t xml:space="preserve">”</w:t>
      </w:r>
    </w:p>
    <w:tbl>
      <w:tblPr>
        <w:tblStyle w:val="Table"/>
        <w:tblW w:type="pct" w:w="5000"/>
        <w:jc w:val="left"/>
        <w:tblLayout w:type="fixed"/>
        <w:tblLook w:firstRow="1" w:lastRow="0" w:firstColumn="0" w:lastColumn="0" w:noHBand="0" w:noVBand="0" w:val="002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3960"/>
        <w:gridCol w:w="3960"/>
      </w:tblGrid>
      <w:tr>
        <w:trPr>
          <w:tblHeader w:val="on"/>
        </w:trPr>
        <w:tc>
          <w:tcPr/>
          <w:p>
            <w:pPr>
              <w:pStyle w:val="Compact"/>
              <w:spacing w:after="40" w:line="288" w:lineRule="auto"/>
              <w:jc w:val="left"/>
            </w:pPr>
            <w:r>
              <w:rPr>
                <w:rFonts w:ascii="DejaVu Serif" w:hAnsi="DejaVu Serif" w:eastAsia="Noto Sans CJK SC"/>
                <w:color w:val="000000"/>
                <w:sz w:val="19"/>
              </w:rPr>
              <w:t xml:space="preserve">Attribute</w:t>
            </w:r>
          </w:p>
        </w:tc>
        <w:tc>
          <w:tcPr/>
          <w:p>
            <w:pPr>
              <w:pStyle w:val="Compact"/>
              <w:spacing w:after="40" w:line="288" w:lineRule="auto"/>
              <w:jc w:val="left"/>
            </w:pPr>
            <w:r>
              <w:rPr>
                <w:rFonts w:ascii="DejaVu Serif" w:hAnsi="DejaVu Serif" w:eastAsia="Noto Sans CJK SC"/>
                <w:color w:val="000000"/>
                <w:sz w:val="19"/>
              </w:rPr>
              <w:t xml:space="preserve">Content</w:t>
            </w:r>
          </w:p>
        </w:tc>
      </w:tr>
      <w:tr>
        <w:tc>
          <w:tcPr/>
          <w:p>
            <w:pPr>
              <w:pStyle w:val="Compact"/>
              <w:spacing w:after="40" w:line="288" w:lineRule="auto"/>
              <w:jc w:val="left"/>
            </w:pPr>
            <w:r>
              <w:rPr>
                <w:rFonts w:ascii="DejaVu Serif" w:hAnsi="DejaVu Serif" w:eastAsia="Noto Sans CJK SC"/>
                <w:b/>
                <w:bCs/>
                <w:color w:val="000000"/>
                <w:sz w:val="19"/>
              </w:rPr>
              <w:t xml:space="preserve">Number of Articles</w:t>
            </w:r>
          </w:p>
        </w:tc>
        <w:tc>
          <w:tcPr/>
          <w:p>
            <w:pPr>
              <w:pStyle w:val="Compact"/>
              <w:spacing w:after="40" w:line="288" w:lineRule="auto"/>
              <w:jc w:val="left"/>
            </w:pPr>
            <w:r>
              <w:rPr>
                <w:rFonts w:ascii="DejaVu Serif" w:hAnsi="DejaVu Serif" w:eastAsia="Noto Sans CJK SC"/>
                <w:b/>
                <w:bCs/>
                <w:color w:val="000000"/>
                <w:sz w:val="19"/>
              </w:rPr>
              <w:t xml:space="preserve">+3 Articles</w:t>
            </w:r>
          </w:p>
        </w:tc>
      </w:tr>
      <w:tr>
        <w:tc>
          <w:tcPr/>
          <w:p>
            <w:pPr>
              <w:pStyle w:val="Compact"/>
              <w:spacing w:after="40" w:line="288" w:lineRule="auto"/>
              <w:jc w:val="left"/>
            </w:pPr>
            <w:r>
              <w:rPr>
                <w:rFonts w:ascii="DejaVu Serif" w:hAnsi="DejaVu Serif" w:eastAsia="Noto Sans CJK SC"/>
                <w:b/>
                <w:bCs/>
                <w:color w:val="000000"/>
                <w:sz w:val="19"/>
              </w:rPr>
              <w:t xml:space="preserve">Positioning</w:t>
            </w:r>
          </w:p>
        </w:tc>
        <w:tc>
          <w:tcPr/>
          <w:p>
            <w:pPr>
              <w:pStyle w:val="Compact"/>
              <w:spacing w:after="40" w:line="288" w:lineRule="auto"/>
              <w:jc w:val="left"/>
            </w:pPr>
            <w:r>
              <w:rPr>
                <w:rFonts w:ascii="DejaVu Serif" w:hAnsi="DejaVu Serif" w:eastAsia="Noto Sans CJK SC"/>
                <w:color w:val="000000"/>
                <w:sz w:val="19"/>
              </w:rPr>
              <w:t xml:space="preserve">To specify the concrete circumstances and persons to whom the universal principle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non-essential assistance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may be exempted</w:t>
            </w:r>
          </w:p>
        </w:tc>
      </w:tr>
    </w:tbl>
    <w:bookmarkEnd w:id="280"/>
    <w:bookmarkStart w:id="281" w:name="Xe78f367e1828a6526c6981067e27a55c2cd4314"/>
    <w:p>
      <w:pPr>
        <w:pStyle w:val="Heading3"/>
        <w:spacing w:after="120" w:line="312" w:lineRule="auto"/>
        <w:jc w:val="left"/>
      </w:pPr>
      <w:r>
        <w:rPr>
          <w:rFonts w:ascii="DejaVu Serif" w:hAnsi="DejaVu Serif" w:eastAsia="Noto Serif CJK SC"/>
          <w:color w:val="000000"/>
          <w:sz w:val="26"/>
        </w:rPr>
        <w:t xml:space="preserve">A.04.001: Detailed Rules for the Personal Lifestyle Principle</w:t>
      </w:r>
    </w:p>
    <w:tbl>
      <w:tblPr>
        <w:tblStyle w:val="Table"/>
        <w:tblW w:type="pct" w:w="5000"/>
        <w:jc w:val="left"/>
        <w:tblLayout w:type="fixed"/>
        <w:tblLook w:firstRow="1" w:lastRow="0" w:firstColumn="0" w:lastColumn="0" w:noHBand="0" w:noVBand="0" w:val="002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3960"/>
        <w:gridCol w:w="3960"/>
      </w:tblGrid>
      <w:tr>
        <w:trPr>
          <w:tblHeader w:val="on"/>
        </w:trPr>
        <w:tc>
          <w:tcPr/>
          <w:p>
            <w:pPr>
              <w:pStyle w:val="Compact"/>
              <w:spacing w:after="40" w:line="288" w:lineRule="auto"/>
              <w:jc w:val="left"/>
            </w:pPr>
            <w:r>
              <w:rPr>
                <w:rFonts w:ascii="DejaVu Serif" w:hAnsi="DejaVu Serif" w:eastAsia="Noto Sans CJK SC"/>
                <w:color w:val="000000"/>
                <w:sz w:val="19"/>
              </w:rPr>
              <w:t xml:space="preserve">Attribute</w:t>
            </w:r>
          </w:p>
        </w:tc>
        <w:tc>
          <w:tcPr/>
          <w:p>
            <w:pPr>
              <w:pStyle w:val="Compact"/>
              <w:spacing w:after="40" w:line="288" w:lineRule="auto"/>
              <w:jc w:val="left"/>
            </w:pPr>
            <w:r>
              <w:rPr>
                <w:rFonts w:ascii="DejaVu Serif" w:hAnsi="DejaVu Serif" w:eastAsia="Noto Sans CJK SC"/>
                <w:color w:val="000000"/>
                <w:sz w:val="19"/>
              </w:rPr>
              <w:t xml:space="preserve">Content</w:t>
            </w:r>
          </w:p>
        </w:tc>
      </w:tr>
      <w:tr>
        <w:tc>
          <w:tcPr/>
          <w:p>
            <w:pPr>
              <w:pStyle w:val="Compact"/>
              <w:spacing w:after="40" w:line="288" w:lineRule="auto"/>
              <w:jc w:val="left"/>
            </w:pPr>
            <w:r>
              <w:rPr>
                <w:rFonts w:ascii="DejaVu Serif" w:hAnsi="DejaVu Serif" w:eastAsia="Noto Sans CJK SC"/>
                <w:b/>
                <w:bCs/>
                <w:color w:val="000000"/>
                <w:sz w:val="19"/>
              </w:rPr>
              <w:t xml:space="preserve">Number of Articles</w:t>
            </w:r>
          </w:p>
        </w:tc>
        <w:tc>
          <w:tcPr/>
          <w:p>
            <w:pPr>
              <w:pStyle w:val="Compact"/>
              <w:spacing w:after="40" w:line="288" w:lineRule="auto"/>
              <w:jc w:val="left"/>
            </w:pPr>
            <w:r>
              <w:rPr>
                <w:rFonts w:ascii="DejaVu Serif" w:hAnsi="DejaVu Serif" w:eastAsia="Noto Sans CJK SC"/>
                <w:b/>
                <w:bCs/>
                <w:color w:val="000000"/>
                <w:sz w:val="19"/>
              </w:rPr>
              <w:t xml:space="preserve">+9 Articles</w:t>
            </w:r>
          </w:p>
        </w:tc>
      </w:tr>
      <w:tr>
        <w:tc>
          <w:tcPr/>
          <w:p>
            <w:pPr>
              <w:pStyle w:val="Compact"/>
              <w:spacing w:after="40" w:line="288" w:lineRule="auto"/>
              <w:jc w:val="left"/>
            </w:pPr>
            <w:r>
              <w:rPr>
                <w:rFonts w:ascii="DejaVu Serif" w:hAnsi="DejaVu Serif" w:eastAsia="Noto Sans CJK SC"/>
                <w:b/>
                <w:bCs/>
                <w:color w:val="000000"/>
                <w:sz w:val="19"/>
              </w:rPr>
              <w:t xml:space="preserve">Positioning</w:t>
            </w:r>
          </w:p>
        </w:tc>
        <w:tc>
          <w:tcPr/>
          <w:p>
            <w:pPr>
              <w:pStyle w:val="Compact"/>
              <w:spacing w:after="40" w:line="288" w:lineRule="auto"/>
              <w:jc w:val="left"/>
            </w:pPr>
            <w:r>
              <w:rPr>
                <w:rFonts w:ascii="DejaVu Serif" w:hAnsi="DejaVu Serif" w:eastAsia="Noto Sans CJK SC"/>
                <w:color w:val="000000"/>
                <w:sz w:val="19"/>
              </w:rPr>
              <w:t xml:space="preserve">Detailed explanations, exceptional circumstances, and operational guidelines for the five basic principles: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no home purchase, no vehicle purchase, no statutory marriage, no childbirth, no party membership</w:t>
            </w:r>
            <w:r>
              <w:rPr>
                <w:rFonts w:ascii="DejaVu Serif" w:hAnsi="DejaVu Serif" w:eastAsia="Noto Sans CJK SC"/>
                <w:color w:val="000000"/>
                <w:sz w:val="19"/>
              </w:rPr>
              <w:t xml:space="preserve">”</w:t>
            </w:r>
          </w:p>
        </w:tc>
      </w:tr>
    </w:tbl>
    <w:bookmarkEnd w:id="281"/>
    <w:bookmarkStart w:id="282" w:name="X25e3b876e57b52dd8a18029947c34b7cca2f726"/>
    <w:p>
      <w:pPr>
        <w:pStyle w:val="Heading3"/>
        <w:spacing w:after="120" w:line="312" w:lineRule="auto"/>
        <w:jc w:val="left"/>
      </w:pPr>
      <w:r>
        <w:rPr>
          <w:rFonts w:ascii="DejaVu Serif" w:hAnsi="DejaVu Serif" w:eastAsia="Noto Serif CJK SC"/>
          <w:color w:val="000000"/>
          <w:sz w:val="26"/>
        </w:rPr>
        <w:t xml:space="preserve">A.05.001: Implementation Rules for</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Anti-extremism, Credit Evaluation, and Individual Belief Support</w:t>
      </w:r>
      <w:r>
        <w:rPr>
          <w:rFonts w:ascii="DejaVu Serif" w:hAnsi="DejaVu Serif" w:eastAsia="Noto Serif CJK SC"/>
          <w:color w:val="000000"/>
          <w:sz w:val="26"/>
        </w:rPr>
        <w:t xml:space="preserve">”</w:t>
      </w:r>
    </w:p>
    <w:tbl>
      <w:tblPr>
        <w:tblStyle w:val="Table"/>
        <w:tblW w:type="pct" w:w="5000"/>
        <w:jc w:val="left"/>
        <w:tblLayout w:type="fixed"/>
        <w:tblLook w:firstRow="1" w:lastRow="0" w:firstColumn="0" w:lastColumn="0" w:noHBand="0" w:noVBand="0" w:val="002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3960"/>
        <w:gridCol w:w="3960"/>
      </w:tblGrid>
      <w:tr>
        <w:trPr>
          <w:tblHeader w:val="on"/>
        </w:trPr>
        <w:tc>
          <w:tcPr/>
          <w:p>
            <w:pPr>
              <w:pStyle w:val="Compact"/>
              <w:spacing w:after="40" w:line="288" w:lineRule="auto"/>
              <w:jc w:val="left"/>
            </w:pPr>
            <w:r>
              <w:rPr>
                <w:rFonts w:ascii="DejaVu Serif" w:hAnsi="DejaVu Serif" w:eastAsia="Noto Sans CJK SC"/>
                <w:color w:val="000000"/>
                <w:sz w:val="19"/>
              </w:rPr>
              <w:t xml:space="preserve">Attribute</w:t>
            </w:r>
          </w:p>
        </w:tc>
        <w:tc>
          <w:tcPr/>
          <w:p>
            <w:pPr>
              <w:pStyle w:val="Compact"/>
              <w:spacing w:after="40" w:line="288" w:lineRule="auto"/>
              <w:jc w:val="left"/>
            </w:pPr>
            <w:r>
              <w:rPr>
                <w:rFonts w:ascii="DejaVu Serif" w:hAnsi="DejaVu Serif" w:eastAsia="Noto Sans CJK SC"/>
                <w:color w:val="000000"/>
                <w:sz w:val="19"/>
              </w:rPr>
              <w:t xml:space="preserve">Content</w:t>
            </w:r>
          </w:p>
        </w:tc>
      </w:tr>
      <w:tr>
        <w:tc>
          <w:tcPr/>
          <w:p>
            <w:pPr>
              <w:pStyle w:val="Compact"/>
              <w:spacing w:after="40" w:line="288" w:lineRule="auto"/>
              <w:jc w:val="left"/>
            </w:pPr>
            <w:r>
              <w:rPr>
                <w:rFonts w:ascii="DejaVu Serif" w:hAnsi="DejaVu Serif" w:eastAsia="Noto Sans CJK SC"/>
                <w:b/>
                <w:bCs/>
                <w:color w:val="000000"/>
                <w:sz w:val="19"/>
              </w:rPr>
              <w:t xml:space="preserve">Number of Articles</w:t>
            </w:r>
          </w:p>
        </w:tc>
        <w:tc>
          <w:tcPr/>
          <w:p>
            <w:pPr>
              <w:pStyle w:val="Compact"/>
              <w:spacing w:after="40" w:line="288" w:lineRule="auto"/>
              <w:jc w:val="left"/>
            </w:pPr>
            <w:r>
              <w:rPr>
                <w:rFonts w:ascii="DejaVu Serif" w:hAnsi="DejaVu Serif" w:eastAsia="Noto Sans CJK SC"/>
                <w:b/>
                <w:bCs/>
                <w:color w:val="000000"/>
                <w:sz w:val="19"/>
              </w:rPr>
              <w:t xml:space="preserve">+7 Articles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(overlapping with Correction Bill (3), not counted repeatedly)</w:t>
            </w:r>
          </w:p>
        </w:tc>
      </w:tr>
      <w:tr>
        <w:tc>
          <w:tcPr/>
          <w:p>
            <w:pPr>
              <w:pStyle w:val="Compact"/>
              <w:spacing w:after="40" w:line="288" w:lineRule="auto"/>
              <w:jc w:val="left"/>
            </w:pPr>
            <w:r>
              <w:rPr>
                <w:rFonts w:ascii="DejaVu Serif" w:hAnsi="DejaVu Serif" w:eastAsia="Noto Sans CJK SC"/>
                <w:b/>
                <w:bCs/>
                <w:color w:val="000000"/>
                <w:sz w:val="19"/>
              </w:rPr>
              <w:t xml:space="preserve">Positioning</w:t>
            </w:r>
          </w:p>
        </w:tc>
        <w:tc>
          <w:tcPr/>
          <w:p>
            <w:pPr>
              <w:pStyle w:val="Compact"/>
              <w:spacing w:after="40" w:line="288" w:lineRule="auto"/>
              <w:jc w:val="left"/>
            </w:pPr>
            <w:r>
              <w:rPr>
                <w:rFonts w:ascii="DejaVu Serif" w:hAnsi="DejaVu Serif" w:eastAsia="Noto Sans CJK SC"/>
                <w:color w:val="000000"/>
                <w:sz w:val="19"/>
              </w:rPr>
              <w:t xml:space="preserve">To transform philosophical concepts such as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civilizational success,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anti-extreme personality,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credit wall</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into operable credit evaluation, behavioral restrictions, and social support mechanisms</w:t>
            </w:r>
          </w:p>
        </w:tc>
      </w:tr>
    </w:tbl>
    <w:bookmarkEnd w:id="282"/>
    <w:bookmarkStart w:id="283" w:name="X3963dfa12018f90d1a615a66ded195d38af435d"/>
    <w:p>
      <w:pPr>
        <w:pStyle w:val="Heading3"/>
        <w:spacing w:after="120" w:line="312" w:lineRule="auto"/>
        <w:jc w:val="left"/>
      </w:pPr>
      <w:r>
        <w:rPr>
          <w:rFonts w:ascii="DejaVu Serif" w:hAnsi="DejaVu Serif" w:eastAsia="Noto Serif CJK SC"/>
          <w:color w:val="000000"/>
          <w:sz w:val="26"/>
        </w:rPr>
        <w:t xml:space="preserve">A.06.001: Rectification Text on Civilian Cooperation</w:t>
      </w:r>
    </w:p>
    <w:tbl>
      <w:tblPr>
        <w:tblStyle w:val="Table"/>
        <w:tblW w:type="pct" w:w="5000"/>
        <w:jc w:val="left"/>
        <w:tblLayout w:type="fixed"/>
        <w:tblLook w:firstRow="1" w:lastRow="0" w:firstColumn="0" w:lastColumn="0" w:noHBand="0" w:noVBand="0" w:val="002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3960"/>
        <w:gridCol w:w="3960"/>
      </w:tblGrid>
      <w:tr>
        <w:trPr>
          <w:tblHeader w:val="on"/>
        </w:trPr>
        <w:tc>
          <w:tcPr/>
          <w:p>
            <w:pPr>
              <w:pStyle w:val="Compact"/>
              <w:spacing w:after="40" w:line="288" w:lineRule="auto"/>
              <w:jc w:val="left"/>
            </w:pPr>
            <w:r>
              <w:rPr>
                <w:rFonts w:ascii="DejaVu Serif" w:hAnsi="DejaVu Serif" w:eastAsia="Noto Sans CJK SC"/>
                <w:color w:val="000000"/>
                <w:sz w:val="19"/>
              </w:rPr>
              <w:t xml:space="preserve">Attribute</w:t>
            </w:r>
          </w:p>
        </w:tc>
        <w:tc>
          <w:tcPr/>
          <w:p>
            <w:pPr>
              <w:pStyle w:val="Compact"/>
              <w:spacing w:after="40" w:line="288" w:lineRule="auto"/>
              <w:jc w:val="left"/>
            </w:pPr>
            <w:r>
              <w:rPr>
                <w:rFonts w:ascii="DejaVu Serif" w:hAnsi="DejaVu Serif" w:eastAsia="Noto Sans CJK SC"/>
                <w:color w:val="000000"/>
                <w:sz w:val="19"/>
              </w:rPr>
              <w:t xml:space="preserve">Content</w:t>
            </w:r>
          </w:p>
        </w:tc>
      </w:tr>
      <w:tr>
        <w:tc>
          <w:tcPr/>
          <w:p>
            <w:pPr>
              <w:pStyle w:val="Compact"/>
              <w:spacing w:after="40" w:line="288" w:lineRule="auto"/>
              <w:jc w:val="left"/>
            </w:pPr>
            <w:r>
              <w:rPr>
                <w:rFonts w:ascii="DejaVu Serif" w:hAnsi="DejaVu Serif" w:eastAsia="Noto Sans CJK SC"/>
                <w:b/>
                <w:bCs/>
                <w:color w:val="000000"/>
                <w:sz w:val="19"/>
              </w:rPr>
              <w:t xml:space="preserve">Number of Articles</w:t>
            </w:r>
          </w:p>
        </w:tc>
        <w:tc>
          <w:tcPr/>
          <w:p>
            <w:pPr>
              <w:pStyle w:val="Compact"/>
              <w:spacing w:after="40" w:line="288" w:lineRule="auto"/>
              <w:jc w:val="left"/>
            </w:pPr>
            <w:r>
              <w:rPr>
                <w:rFonts w:ascii="DejaVu Serif" w:hAnsi="DejaVu Serif" w:eastAsia="Noto Sans CJK SC"/>
                <w:b/>
                <w:bCs/>
                <w:color w:val="000000"/>
                <w:sz w:val="19"/>
              </w:rPr>
              <w:t xml:space="preserve">+5 Articles</w:t>
            </w:r>
          </w:p>
        </w:tc>
      </w:tr>
      <w:tr>
        <w:tc>
          <w:tcPr/>
          <w:p>
            <w:pPr>
              <w:pStyle w:val="Compact"/>
              <w:spacing w:after="40" w:line="288" w:lineRule="auto"/>
              <w:jc w:val="left"/>
            </w:pPr>
            <w:r>
              <w:rPr>
                <w:rFonts w:ascii="DejaVu Serif" w:hAnsi="DejaVu Serif" w:eastAsia="Noto Sans CJK SC"/>
                <w:b/>
                <w:bCs/>
                <w:color w:val="000000"/>
                <w:sz w:val="19"/>
              </w:rPr>
              <w:t xml:space="preserve">Positioning</w:t>
            </w:r>
          </w:p>
        </w:tc>
        <w:tc>
          <w:tcPr/>
          <w:p>
            <w:pPr>
              <w:pStyle w:val="Compact"/>
              <w:spacing w:after="40" w:line="288" w:lineRule="auto"/>
              <w:jc w:val="left"/>
            </w:pPr>
            <w:r>
              <w:rPr>
                <w:rFonts w:ascii="DejaVu Serif" w:hAnsi="DejaVu Serif" w:eastAsia="Noto Sans CJK SC"/>
                <w:color w:val="000000"/>
                <w:sz w:val="19"/>
              </w:rPr>
              <w:t xml:space="preserve">Official rectification articles that revise employment system expressions into civil cooperation/partnership relationships</w:t>
            </w:r>
          </w:p>
        </w:tc>
      </w:tr>
    </w:tbl>
    <w:bookmarkEnd w:id="283"/>
    <w:bookmarkStart w:id="284" w:name="X2f38c1ae1536b90310e56413468b7629c814f3c"/>
    <w:p>
      <w:pPr>
        <w:pStyle w:val="Heading3"/>
        <w:spacing w:after="120" w:line="312" w:lineRule="auto"/>
        <w:jc w:val="left"/>
      </w:pPr>
      <w:r>
        <w:rPr>
          <w:rFonts w:ascii="DejaVu Serif" w:hAnsi="DejaVu Serif" w:eastAsia="Noto Serif CJK SC"/>
          <w:color w:val="000000"/>
          <w:sz w:val="26"/>
        </w:rPr>
        <w:t xml:space="preserve">A.07.001: Code of Ethics and Etiquette (Grand Code) Version 1.0.2</w:t>
      </w:r>
    </w:p>
    <w:tbl>
      <w:tblPr>
        <w:tblStyle w:val="Table"/>
        <w:tblW w:type="pct" w:w="5000"/>
        <w:jc w:val="left"/>
        <w:tblLayout w:type="fixed"/>
        <w:tblLook w:firstRow="1" w:lastRow="0" w:firstColumn="0" w:lastColumn="0" w:noHBand="0" w:noVBand="0" w:val="002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3960"/>
        <w:gridCol w:w="3960"/>
      </w:tblGrid>
      <w:tr>
        <w:trPr>
          <w:tblHeader w:val="on"/>
        </w:trPr>
        <w:tc>
          <w:tcPr/>
          <w:p>
            <w:pPr>
              <w:pStyle w:val="Compact"/>
              <w:spacing w:after="40" w:line="288" w:lineRule="auto"/>
              <w:jc w:val="left"/>
            </w:pPr>
            <w:r>
              <w:rPr>
                <w:rFonts w:ascii="DejaVu Serif" w:hAnsi="DejaVu Serif" w:eastAsia="Noto Sans CJK SC"/>
                <w:color w:val="000000"/>
                <w:sz w:val="19"/>
              </w:rPr>
              <w:t xml:space="preserve">Attribute</w:t>
            </w:r>
          </w:p>
        </w:tc>
        <w:tc>
          <w:tcPr/>
          <w:p>
            <w:pPr>
              <w:pStyle w:val="Compact"/>
              <w:spacing w:after="40" w:line="288" w:lineRule="auto"/>
              <w:jc w:val="left"/>
            </w:pPr>
            <w:r>
              <w:rPr>
                <w:rFonts w:ascii="DejaVu Serif" w:hAnsi="DejaVu Serif" w:eastAsia="Noto Sans CJK SC"/>
                <w:color w:val="000000"/>
                <w:sz w:val="19"/>
              </w:rPr>
              <w:t xml:space="preserve">Content</w:t>
            </w:r>
          </w:p>
        </w:tc>
      </w:tr>
      <w:tr>
        <w:tc>
          <w:tcPr/>
          <w:p>
            <w:pPr>
              <w:pStyle w:val="Compact"/>
              <w:spacing w:after="40" w:line="288" w:lineRule="auto"/>
              <w:jc w:val="left"/>
            </w:pPr>
            <w:r>
              <w:rPr>
                <w:rFonts w:ascii="DejaVu Serif" w:hAnsi="DejaVu Serif" w:eastAsia="Noto Sans CJK SC"/>
                <w:b/>
                <w:bCs/>
                <w:color w:val="000000"/>
                <w:sz w:val="19"/>
              </w:rPr>
              <w:t xml:space="preserve">Number of Articles</w:t>
            </w:r>
          </w:p>
        </w:tc>
        <w:tc>
          <w:tcPr/>
          <w:p>
            <w:pPr>
              <w:pStyle w:val="Compact"/>
              <w:spacing w:after="40" w:line="288" w:lineRule="auto"/>
              <w:jc w:val="left"/>
            </w:pPr>
            <w:r>
              <w:rPr>
                <w:rFonts w:ascii="DejaVu Serif" w:hAnsi="DejaVu Serif" w:eastAsia="Noto Sans CJK SC"/>
                <w:b/>
                <w:bCs/>
                <w:color w:val="000000"/>
                <w:sz w:val="19"/>
              </w:rPr>
              <w:t xml:space="preserve">+37 Articles</w:t>
            </w:r>
          </w:p>
        </w:tc>
      </w:tr>
      <w:tr>
        <w:tc>
          <w:tcPr/>
          <w:p>
            <w:pPr>
              <w:pStyle w:val="Compact"/>
              <w:spacing w:after="40" w:line="288" w:lineRule="auto"/>
              <w:jc w:val="left"/>
            </w:pPr>
            <w:r>
              <w:rPr>
                <w:rFonts w:ascii="DejaVu Serif" w:hAnsi="DejaVu Serif" w:eastAsia="Noto Sans CJK SC"/>
                <w:b/>
                <w:bCs/>
                <w:color w:val="000000"/>
                <w:sz w:val="19"/>
              </w:rPr>
              <w:t xml:space="preserve">Effective Date</w:t>
            </w:r>
          </w:p>
        </w:tc>
        <w:tc>
          <w:tcPr/>
          <w:p>
            <w:pPr>
              <w:pStyle w:val="Compact"/>
              <w:spacing w:after="40" w:line="288" w:lineRule="auto"/>
              <w:jc w:val="left"/>
            </w:pPr>
            <w:r>
              <w:rPr>
                <w:rFonts w:ascii="DejaVu Serif" w:hAnsi="DejaVu Serif" w:eastAsia="Noto Sans CJK SC"/>
                <w:color w:val="000000"/>
                <w:sz w:val="19"/>
              </w:rPr>
              <w:t xml:space="preserve">May 17, 2026 (the largest single document in the system)</w:t>
            </w:r>
          </w:p>
        </w:tc>
      </w:tr>
      <w:tr>
        <w:tc>
          <w:tcPr/>
          <w:p>
            <w:pPr>
              <w:pStyle w:val="Compact"/>
              <w:spacing w:after="40" w:line="288" w:lineRule="auto"/>
              <w:jc w:val="left"/>
            </w:pPr>
            <w:r>
              <w:rPr>
                <w:rFonts w:ascii="DejaVu Serif" w:hAnsi="DejaVu Serif" w:eastAsia="Noto Sans CJK SC"/>
                <w:b/>
                <w:bCs/>
                <w:color w:val="000000"/>
                <w:sz w:val="19"/>
              </w:rPr>
              <w:t xml:space="preserve">Positioning</w:t>
            </w:r>
          </w:p>
        </w:tc>
        <w:tc>
          <w:tcPr/>
          <w:p>
            <w:pPr>
              <w:pStyle w:val="Compact"/>
              <w:spacing w:after="40" w:line="288" w:lineRule="auto"/>
              <w:jc w:val="left"/>
            </w:pPr>
            <w:r>
              <w:rPr>
                <w:rFonts w:ascii="DejaVu Serif" w:hAnsi="DejaVu Serif" w:eastAsia="Noto Sans CJK SC"/>
                <w:color w:val="000000"/>
                <w:sz w:val="19"/>
              </w:rPr>
              <w:t xml:space="preserve">The system’s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ethical code,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extending norms from the legal baseline to the moral high ground</w:t>
            </w:r>
          </w:p>
        </w:tc>
      </w:tr>
      <w:tr>
        <w:tc>
          <w:tcPr/>
          <w:p>
            <w:pPr>
              <w:pStyle w:val="Compact"/>
              <w:spacing w:after="40" w:line="288" w:lineRule="auto"/>
              <w:jc w:val="left"/>
            </w:pPr>
            <w:r>
              <w:rPr>
                <w:rFonts w:ascii="DejaVu Serif" w:hAnsi="DejaVu Serif" w:eastAsia="Noto Sans CJK SC"/>
                <w:b/>
                <w:bCs/>
                <w:color w:val="000000"/>
                <w:sz w:val="19"/>
              </w:rPr>
              <w:t xml:space="preserve">Core Content</w:t>
            </w:r>
          </w:p>
        </w:tc>
        <w:tc>
          <w:tcPr/>
          <w:p>
            <w:pPr>
              <w:pStyle w:val="Compact"/>
              <w:spacing w:after="40" w:line="288" w:lineRule="auto"/>
              <w:jc w:val="left"/>
            </w:pPr>
            <w:r>
              <w:rPr>
                <w:rFonts w:ascii="DejaVu Serif" w:hAnsi="DejaVu Serif" w:eastAsia="Noto Sans CJK SC"/>
                <w:color w:val="000000"/>
                <w:sz w:val="19"/>
              </w:rPr>
              <w:t xml:space="preserve">Defines insurmountable ethical red lines (absolute baseline ethics), core relational ethics, interpersonal etiquette, ethical accountability measures (from spontaneous warnings to expulsion), and the social vision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civilizational success</w:t>
            </w:r>
            <w:r>
              <w:rPr>
                <w:rFonts w:ascii="DejaVu Serif" w:hAnsi="DejaVu Serif" w:eastAsia="Noto Sans CJK SC"/>
                <w:color w:val="000000"/>
                <w:sz w:val="19"/>
              </w:rPr>
              <w:t xml:space="preserve">”</w:t>
            </w:r>
          </w:p>
        </w:tc>
      </w:tr>
    </w:tbl>
    <w:bookmarkEnd w:id="284"/>
    <w:bookmarkStart w:id="285" w:name="Xa56b37065d569b86f1914aebcea4ca395222449"/>
    <w:p>
      <w:pPr>
        <w:pStyle w:val="Heading3"/>
        <w:spacing w:after="120" w:line="312" w:lineRule="auto"/>
        <w:jc w:val="left"/>
      </w:pPr>
      <w:r>
        <w:rPr>
          <w:rFonts w:ascii="DejaVu Serif" w:hAnsi="DejaVu Serif" w:eastAsia="Noto Serif CJK SC"/>
          <w:color w:val="000000"/>
          <w:sz w:val="26"/>
        </w:rPr>
        <w:t xml:space="preserve">A.07.001-A1: Statement of Reservation on Certain Articles of the</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Code of Ethics and Etiquette (Grand Code)</w:t>
      </w:r>
      <w:r>
        <w:rPr>
          <w:rFonts w:ascii="DejaVu Serif" w:hAnsi="DejaVu Serif" w:eastAsia="Noto Serif CJK SC"/>
          <w:color w:val="000000"/>
          <w:sz w:val="26"/>
        </w:rPr>
        <w:t xml:space="preserve">”</w:t>
      </w:r>
    </w:p>
    <w:tbl>
      <w:tblPr>
        <w:tblStyle w:val="Table"/>
        <w:tblW w:type="pct" w:w="5000"/>
        <w:jc w:val="left"/>
        <w:tblLayout w:type="fixed"/>
        <w:tblLook w:firstRow="1" w:lastRow="0" w:firstColumn="0" w:lastColumn="0" w:noHBand="0" w:noVBand="0" w:val="002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3960"/>
        <w:gridCol w:w="3960"/>
      </w:tblGrid>
      <w:tr>
        <w:trPr>
          <w:tblHeader w:val="on"/>
        </w:trPr>
        <w:tc>
          <w:tcPr/>
          <w:p>
            <w:pPr>
              <w:pStyle w:val="Compact"/>
              <w:spacing w:after="40" w:line="288" w:lineRule="auto"/>
              <w:jc w:val="left"/>
            </w:pPr>
            <w:r>
              <w:rPr>
                <w:rFonts w:ascii="DejaVu Serif" w:hAnsi="DejaVu Serif" w:eastAsia="Noto Sans CJK SC"/>
                <w:color w:val="000000"/>
                <w:sz w:val="19"/>
              </w:rPr>
              <w:t xml:space="preserve">Attribute</w:t>
            </w:r>
          </w:p>
        </w:tc>
        <w:tc>
          <w:tcPr/>
          <w:p>
            <w:pPr>
              <w:pStyle w:val="Compact"/>
              <w:spacing w:after="40" w:line="288" w:lineRule="auto"/>
              <w:jc w:val="left"/>
            </w:pPr>
            <w:r>
              <w:rPr>
                <w:rFonts w:ascii="DejaVu Serif" w:hAnsi="DejaVu Serif" w:eastAsia="Noto Sans CJK SC"/>
                <w:color w:val="000000"/>
                <w:sz w:val="19"/>
              </w:rPr>
              <w:t xml:space="preserve">Content</w:t>
            </w:r>
          </w:p>
        </w:tc>
      </w:tr>
      <w:tr>
        <w:tc>
          <w:tcPr/>
          <w:p>
            <w:pPr>
              <w:pStyle w:val="Compact"/>
              <w:spacing w:after="40" w:line="288" w:lineRule="auto"/>
              <w:jc w:val="left"/>
            </w:pPr>
            <w:r>
              <w:rPr>
                <w:rFonts w:ascii="DejaVu Serif" w:hAnsi="DejaVu Serif" w:eastAsia="Noto Sans CJK SC"/>
                <w:b/>
                <w:bCs/>
                <w:color w:val="000000"/>
                <w:sz w:val="19"/>
              </w:rPr>
              <w:t xml:space="preserve">Number of Articles</w:t>
            </w:r>
          </w:p>
        </w:tc>
        <w:tc>
          <w:tcPr/>
          <w:p>
            <w:pPr>
              <w:pStyle w:val="Compact"/>
              <w:spacing w:after="40" w:line="288" w:lineRule="auto"/>
              <w:jc w:val="left"/>
            </w:pPr>
            <w:r>
              <w:rPr>
                <w:rFonts w:ascii="DejaVu Serif" w:hAnsi="DejaVu Serif" w:eastAsia="Noto Sans CJK SC"/>
                <w:b/>
                <w:bCs/>
                <w:color w:val="000000"/>
                <w:sz w:val="19"/>
              </w:rPr>
              <w:t xml:space="preserve">+9 Articles</w:t>
            </w:r>
          </w:p>
        </w:tc>
      </w:tr>
      <w:tr>
        <w:tc>
          <w:tcPr/>
          <w:p>
            <w:pPr>
              <w:pStyle w:val="Compact"/>
              <w:spacing w:after="40" w:line="288" w:lineRule="auto"/>
              <w:jc w:val="left"/>
            </w:pPr>
            <w:r>
              <w:rPr>
                <w:rFonts w:ascii="DejaVu Serif" w:hAnsi="DejaVu Serif" w:eastAsia="Noto Sans CJK SC"/>
                <w:b/>
                <w:bCs/>
                <w:color w:val="000000"/>
                <w:sz w:val="19"/>
              </w:rPr>
              <w:t xml:space="preserve">Positioning</w:t>
            </w:r>
          </w:p>
        </w:tc>
        <w:tc>
          <w:tcPr/>
          <w:p>
            <w:pPr>
              <w:pStyle w:val="Compact"/>
              <w:spacing w:after="40" w:line="288" w:lineRule="auto"/>
              <w:jc w:val="left"/>
            </w:pPr>
            <w:r>
              <w:rPr>
                <w:rFonts w:ascii="DejaVu Serif" w:hAnsi="DejaVu Serif" w:eastAsia="Noto Sans CJK SC"/>
                <w:color w:val="000000"/>
                <w:sz w:val="19"/>
              </w:rPr>
              <w:t xml:space="preserve">Reservations and explanations on specific articles of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Code of Ethics and Etiquette</w:t>
            </w:r>
            <w:r>
              <w:rPr>
                <w:rFonts w:ascii="DejaVu Serif" w:hAnsi="DejaVu Serif" w:eastAsia="Noto Sans CJK SC"/>
                <w:color w:val="000000"/>
                <w:sz w:val="19"/>
              </w:rPr>
              <w:t xml:space="preserve">”</w:t>
            </w:r>
          </w:p>
        </w:tc>
      </w:tr>
    </w:tbl>
    <w:bookmarkEnd w:id="285"/>
    <w:bookmarkStart w:id="286" w:name="Xad9ad19afbcbf75eecbbccadfb7f2eb37826bcd"/>
    <w:p>
      <w:pPr>
        <w:pStyle w:val="Heading3"/>
        <w:spacing w:after="120" w:line="312" w:lineRule="auto"/>
        <w:jc w:val="left"/>
      </w:pPr>
      <w:r>
        <w:rPr>
          <w:rFonts w:ascii="DejaVu Serif" w:hAnsi="DejaVu Serif" w:eastAsia="Noto Serif CJK SC"/>
          <w:color w:val="000000"/>
          <w:sz w:val="26"/>
        </w:rPr>
        <w:t xml:space="preserve">A.08.001: Implementation Rules for the Binary Iron Law of Organizational Participation</w:t>
      </w:r>
    </w:p>
    <w:tbl>
      <w:tblPr>
        <w:tblStyle w:val="Table"/>
        <w:tblW w:type="pct" w:w="5000"/>
        <w:jc w:val="left"/>
        <w:tblLayout w:type="fixed"/>
        <w:tblLook w:firstRow="1" w:lastRow="0" w:firstColumn="0" w:lastColumn="0" w:noHBand="0" w:noVBand="0" w:val="002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3960"/>
        <w:gridCol w:w="3960"/>
      </w:tblGrid>
      <w:tr>
        <w:trPr>
          <w:tblHeader w:val="on"/>
        </w:trPr>
        <w:tc>
          <w:tcPr/>
          <w:p>
            <w:pPr>
              <w:pStyle w:val="Compact"/>
              <w:spacing w:after="40" w:line="288" w:lineRule="auto"/>
              <w:jc w:val="left"/>
            </w:pPr>
            <w:r>
              <w:rPr>
                <w:rFonts w:ascii="DejaVu Serif" w:hAnsi="DejaVu Serif" w:eastAsia="Noto Sans CJK SC"/>
                <w:color w:val="000000"/>
                <w:sz w:val="19"/>
              </w:rPr>
              <w:t xml:space="preserve">Attribute</w:t>
            </w:r>
          </w:p>
        </w:tc>
        <w:tc>
          <w:tcPr/>
          <w:p>
            <w:pPr>
              <w:pStyle w:val="Compact"/>
              <w:spacing w:after="40" w:line="288" w:lineRule="auto"/>
              <w:jc w:val="left"/>
            </w:pPr>
            <w:r>
              <w:rPr>
                <w:rFonts w:ascii="DejaVu Serif" w:hAnsi="DejaVu Serif" w:eastAsia="Noto Sans CJK SC"/>
                <w:color w:val="000000"/>
                <w:sz w:val="19"/>
              </w:rPr>
              <w:t xml:space="preserve">Content</w:t>
            </w:r>
          </w:p>
        </w:tc>
      </w:tr>
      <w:tr>
        <w:tc>
          <w:tcPr/>
          <w:p>
            <w:pPr>
              <w:pStyle w:val="Compact"/>
              <w:spacing w:after="40" w:line="288" w:lineRule="auto"/>
              <w:jc w:val="left"/>
            </w:pPr>
            <w:r>
              <w:rPr>
                <w:rFonts w:ascii="DejaVu Serif" w:hAnsi="DejaVu Serif" w:eastAsia="Noto Sans CJK SC"/>
                <w:b/>
                <w:bCs/>
                <w:color w:val="000000"/>
                <w:sz w:val="19"/>
              </w:rPr>
              <w:t xml:space="preserve">Number of Articles</w:t>
            </w:r>
          </w:p>
        </w:tc>
        <w:tc>
          <w:tcPr/>
          <w:p>
            <w:pPr>
              <w:pStyle w:val="Compact"/>
              <w:spacing w:after="40" w:line="288" w:lineRule="auto"/>
              <w:jc w:val="left"/>
            </w:pPr>
            <w:r>
              <w:rPr>
                <w:rFonts w:ascii="DejaVu Serif" w:hAnsi="DejaVu Serif" w:eastAsia="Noto Sans CJK SC"/>
                <w:b/>
                <w:bCs/>
                <w:color w:val="000000"/>
                <w:sz w:val="19"/>
              </w:rPr>
              <w:t xml:space="preserve">+9 Articles</w:t>
            </w:r>
          </w:p>
        </w:tc>
      </w:tr>
      <w:tr>
        <w:tc>
          <w:tcPr/>
          <w:p>
            <w:pPr>
              <w:pStyle w:val="Compact"/>
              <w:spacing w:after="40" w:line="288" w:lineRule="auto"/>
              <w:jc w:val="left"/>
            </w:pPr>
            <w:r>
              <w:rPr>
                <w:rFonts w:ascii="DejaVu Serif" w:hAnsi="DejaVu Serif" w:eastAsia="Noto Sans CJK SC"/>
                <w:b/>
                <w:bCs/>
                <w:color w:val="000000"/>
                <w:sz w:val="19"/>
              </w:rPr>
              <w:t xml:space="preserve">Effective Date</w:t>
            </w:r>
          </w:p>
        </w:tc>
        <w:tc>
          <w:tcPr/>
          <w:p>
            <w:pPr>
              <w:pStyle w:val="Compact"/>
              <w:spacing w:after="40" w:line="288" w:lineRule="auto"/>
              <w:jc w:val="left"/>
            </w:pPr>
            <w:r>
              <w:rPr>
                <w:rFonts w:ascii="DejaVu Serif" w:hAnsi="DejaVu Serif" w:eastAsia="Noto Sans CJK SC"/>
                <w:color w:val="000000"/>
                <w:sz w:val="19"/>
              </w:rPr>
              <w:t xml:space="preserve">August 22, 2026</w:t>
            </w:r>
          </w:p>
        </w:tc>
      </w:tr>
      <w:tr>
        <w:tc>
          <w:tcPr/>
          <w:p>
            <w:pPr>
              <w:pStyle w:val="Compact"/>
              <w:spacing w:after="40" w:line="288" w:lineRule="auto"/>
              <w:jc w:val="left"/>
            </w:pPr>
            <w:r>
              <w:rPr>
                <w:rFonts w:ascii="DejaVu Serif" w:hAnsi="DejaVu Serif" w:eastAsia="Noto Sans CJK SC"/>
                <w:b/>
                <w:bCs/>
                <w:color w:val="000000"/>
                <w:sz w:val="19"/>
              </w:rPr>
              <w:t xml:space="preserve">Positioning</w:t>
            </w:r>
          </w:p>
        </w:tc>
        <w:tc>
          <w:tcPr/>
          <w:p>
            <w:pPr>
              <w:pStyle w:val="Compact"/>
              <w:spacing w:after="40" w:line="288" w:lineRule="auto"/>
              <w:jc w:val="left"/>
            </w:pPr>
            <w:r>
              <w:rPr>
                <w:rFonts w:ascii="DejaVu Serif" w:hAnsi="DejaVu Serif" w:eastAsia="Noto Sans CJK SC"/>
                <w:color w:val="000000"/>
                <w:sz w:val="19"/>
              </w:rPr>
              <w:t xml:space="preserve">Specification of Article 144 【Binary Iron Law of Organizational Participation】, defining self-established organizations and voluntary organizations, excluding rigid institutional organizations such as civil servants</w:t>
            </w:r>
          </w:p>
        </w:tc>
      </w:tr>
    </w:tbl>
    <w:bookmarkEnd w:id="286"/>
    <w:bookmarkEnd w:id="287"/>
    <w:bookmarkStart w:id="290" w:name="b-series-family-wealth-and-governance"/>
    <w:p>
      <w:pPr>
        <w:pStyle w:val="Heading2"/>
        <w:spacing w:after="160" w:line="312" w:lineRule="auto"/>
        <w:jc w:val="left"/>
      </w:pPr>
      <w:r>
        <w:rPr>
          <w:rFonts w:ascii="DejaVu Serif" w:hAnsi="DejaVu Serif" w:eastAsia="Noto Serif CJK SC"/>
          <w:color w:val="000000"/>
          <w:sz w:val="30"/>
        </w:rPr>
        <w:t xml:space="preserve">B Series · Family Wealth and Governance</w:t>
      </w:r>
    </w:p>
    <w:bookmarkStart w:id="288" w:name="Xd82a8e1cefb34ee87866f19c5d828776189c360"/>
    <w:p>
      <w:pPr>
        <w:pStyle w:val="Heading3"/>
        <w:spacing w:after="120" w:line="312" w:lineRule="auto"/>
        <w:jc w:val="left"/>
      </w:pPr>
      <w:r>
        <w:rPr>
          <w:rFonts w:ascii="DejaVu Serif" w:hAnsi="DejaVu Serif" w:eastAsia="Noto Serif CJK SC"/>
          <w:color w:val="000000"/>
          <w:sz w:val="26"/>
        </w:rPr>
        <w:t xml:space="preserve">B.01.001: Implementation Rules for Family Asset Pool Operations</w:t>
      </w:r>
    </w:p>
    <w:tbl>
      <w:tblPr>
        <w:tblStyle w:val="Table"/>
        <w:tblW w:type="pct" w:w="5000"/>
        <w:jc w:val="left"/>
        <w:tblLayout w:type="fixed"/>
        <w:tblLook w:firstRow="1" w:lastRow="0" w:firstColumn="0" w:lastColumn="0" w:noHBand="0" w:noVBand="0" w:val="002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3960"/>
        <w:gridCol w:w="3960"/>
      </w:tblGrid>
      <w:tr>
        <w:trPr>
          <w:tblHeader w:val="on"/>
        </w:trPr>
        <w:tc>
          <w:tcPr/>
          <w:p>
            <w:pPr>
              <w:pStyle w:val="Compact"/>
              <w:spacing w:after="40" w:line="288" w:lineRule="auto"/>
              <w:jc w:val="left"/>
            </w:pPr>
            <w:r>
              <w:rPr>
                <w:rFonts w:ascii="DejaVu Serif" w:hAnsi="DejaVu Serif" w:eastAsia="Noto Sans CJK SC"/>
                <w:color w:val="000000"/>
                <w:sz w:val="19"/>
              </w:rPr>
              <w:t xml:space="preserve">Attribute</w:t>
            </w:r>
          </w:p>
        </w:tc>
        <w:tc>
          <w:tcPr/>
          <w:p>
            <w:pPr>
              <w:pStyle w:val="Compact"/>
              <w:spacing w:after="40" w:line="288" w:lineRule="auto"/>
              <w:jc w:val="left"/>
            </w:pPr>
            <w:r>
              <w:rPr>
                <w:rFonts w:ascii="DejaVu Serif" w:hAnsi="DejaVu Serif" w:eastAsia="Noto Sans CJK SC"/>
                <w:color w:val="000000"/>
                <w:sz w:val="19"/>
              </w:rPr>
              <w:t xml:space="preserve">Content</w:t>
            </w:r>
          </w:p>
        </w:tc>
      </w:tr>
      <w:tr>
        <w:tc>
          <w:tcPr/>
          <w:p>
            <w:pPr>
              <w:pStyle w:val="Compact"/>
              <w:spacing w:after="40" w:line="288" w:lineRule="auto"/>
              <w:jc w:val="left"/>
            </w:pPr>
            <w:r>
              <w:rPr>
                <w:rFonts w:ascii="DejaVu Serif" w:hAnsi="DejaVu Serif" w:eastAsia="Noto Sans CJK SC"/>
                <w:b/>
                <w:bCs/>
                <w:color w:val="000000"/>
                <w:sz w:val="19"/>
              </w:rPr>
              <w:t xml:space="preserve">Number of Articles</w:t>
            </w:r>
          </w:p>
        </w:tc>
        <w:tc>
          <w:tcPr/>
          <w:p>
            <w:pPr>
              <w:pStyle w:val="Compact"/>
              <w:spacing w:after="40" w:line="288" w:lineRule="auto"/>
              <w:jc w:val="left"/>
            </w:pPr>
            <w:r>
              <w:rPr>
                <w:rFonts w:ascii="DejaVu Serif" w:hAnsi="DejaVu Serif" w:eastAsia="Noto Sans CJK SC"/>
                <w:b/>
                <w:bCs/>
                <w:color w:val="000000"/>
                <w:sz w:val="19"/>
              </w:rPr>
              <w:t xml:space="preserve">+15 Articles</w:t>
            </w:r>
          </w:p>
        </w:tc>
      </w:tr>
      <w:tr>
        <w:tc>
          <w:tcPr/>
          <w:p>
            <w:pPr>
              <w:pStyle w:val="Compact"/>
              <w:spacing w:after="40" w:line="288" w:lineRule="auto"/>
              <w:jc w:val="left"/>
            </w:pPr>
            <w:r>
              <w:rPr>
                <w:rFonts w:ascii="DejaVu Serif" w:hAnsi="DejaVu Serif" w:eastAsia="Noto Sans CJK SC"/>
                <w:b/>
                <w:bCs/>
                <w:color w:val="000000"/>
                <w:sz w:val="19"/>
              </w:rPr>
              <w:t xml:space="preserve">Positioning</w:t>
            </w:r>
          </w:p>
        </w:tc>
        <w:tc>
          <w:tcPr/>
          <w:p>
            <w:pPr>
              <w:pStyle w:val="Compact"/>
              <w:spacing w:after="40" w:line="288" w:lineRule="auto"/>
              <w:jc w:val="left"/>
            </w:pPr>
            <w:r>
              <w:rPr>
                <w:rFonts w:ascii="DejaVu Serif" w:hAnsi="DejaVu Serif" w:eastAsia="Noto Sans CJK SC"/>
                <w:color w:val="000000"/>
                <w:sz w:val="19"/>
              </w:rPr>
              <w:t xml:space="preserve">Rules for the composition, injection, management, investment, and distribution of family common assets, the core operational document for family wealth inheritance</w:t>
            </w:r>
          </w:p>
        </w:tc>
      </w:tr>
    </w:tbl>
    <w:bookmarkEnd w:id="288"/>
    <w:bookmarkStart w:id="289" w:name="X36ce4ce0a627fa350fe922e754b07638dac6c7b"/>
    <w:p>
      <w:pPr>
        <w:pStyle w:val="Heading3"/>
        <w:spacing w:after="120" w:line="312" w:lineRule="auto"/>
        <w:jc w:val="left"/>
      </w:pPr>
      <w:r>
        <w:rPr>
          <w:rFonts w:ascii="DejaVu Serif" w:hAnsi="DejaVu Serif" w:eastAsia="Noto Serif CJK SC"/>
          <w:color w:val="000000"/>
          <w:sz w:val="26"/>
        </w:rPr>
        <w:t xml:space="preserve">B.02.001: Contribution Value Measurement Standards</w:t>
      </w:r>
    </w:p>
    <w:tbl>
      <w:tblPr>
        <w:tblStyle w:val="Table"/>
        <w:tblW w:type="pct" w:w="5000"/>
        <w:jc w:val="left"/>
        <w:tblLayout w:type="fixed"/>
        <w:tblLook w:firstRow="1" w:lastRow="0" w:firstColumn="0" w:lastColumn="0" w:noHBand="0" w:noVBand="0" w:val="002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3960"/>
        <w:gridCol w:w="3960"/>
      </w:tblGrid>
      <w:tr>
        <w:trPr>
          <w:tblHeader w:val="on"/>
        </w:trPr>
        <w:tc>
          <w:tcPr/>
          <w:p>
            <w:pPr>
              <w:pStyle w:val="Compact"/>
              <w:spacing w:after="40" w:line="288" w:lineRule="auto"/>
              <w:jc w:val="left"/>
            </w:pPr>
            <w:r>
              <w:rPr>
                <w:rFonts w:ascii="DejaVu Serif" w:hAnsi="DejaVu Serif" w:eastAsia="Noto Sans CJK SC"/>
                <w:color w:val="000000"/>
                <w:sz w:val="19"/>
              </w:rPr>
              <w:t xml:space="preserve">Attribute</w:t>
            </w:r>
          </w:p>
        </w:tc>
        <w:tc>
          <w:tcPr/>
          <w:p>
            <w:pPr>
              <w:pStyle w:val="Compact"/>
              <w:spacing w:after="40" w:line="288" w:lineRule="auto"/>
              <w:jc w:val="left"/>
            </w:pPr>
            <w:r>
              <w:rPr>
                <w:rFonts w:ascii="DejaVu Serif" w:hAnsi="DejaVu Serif" w:eastAsia="Noto Sans CJK SC"/>
                <w:color w:val="000000"/>
                <w:sz w:val="19"/>
              </w:rPr>
              <w:t xml:space="preserve">Content</w:t>
            </w:r>
          </w:p>
        </w:tc>
      </w:tr>
      <w:tr>
        <w:tc>
          <w:tcPr/>
          <w:p>
            <w:pPr>
              <w:pStyle w:val="Compact"/>
              <w:spacing w:after="40" w:line="288" w:lineRule="auto"/>
              <w:jc w:val="left"/>
            </w:pPr>
            <w:r>
              <w:rPr>
                <w:rFonts w:ascii="DejaVu Serif" w:hAnsi="DejaVu Serif" w:eastAsia="Noto Sans CJK SC"/>
                <w:b/>
                <w:bCs/>
                <w:color w:val="000000"/>
                <w:sz w:val="19"/>
              </w:rPr>
              <w:t xml:space="preserve">Number of Articles</w:t>
            </w:r>
          </w:p>
        </w:tc>
        <w:tc>
          <w:tcPr/>
          <w:p>
            <w:pPr>
              <w:pStyle w:val="Compact"/>
              <w:spacing w:after="40" w:line="288" w:lineRule="auto"/>
              <w:jc w:val="left"/>
            </w:pPr>
            <w:r>
              <w:rPr>
                <w:rFonts w:ascii="DejaVu Serif" w:hAnsi="DejaVu Serif" w:eastAsia="Noto Sans CJK SC"/>
                <w:b/>
                <w:bCs/>
                <w:color w:val="000000"/>
                <w:sz w:val="19"/>
              </w:rPr>
              <w:t xml:space="preserve">+8 Articles</w:t>
            </w:r>
          </w:p>
        </w:tc>
      </w:tr>
      <w:tr>
        <w:tc>
          <w:tcPr/>
          <w:p>
            <w:pPr>
              <w:pStyle w:val="Compact"/>
              <w:spacing w:after="40" w:line="288" w:lineRule="auto"/>
              <w:jc w:val="left"/>
            </w:pPr>
            <w:r>
              <w:rPr>
                <w:rFonts w:ascii="DejaVu Serif" w:hAnsi="DejaVu Serif" w:eastAsia="Noto Sans CJK SC"/>
                <w:b/>
                <w:bCs/>
                <w:color w:val="000000"/>
                <w:sz w:val="19"/>
              </w:rPr>
              <w:t xml:space="preserve">Positioning</w:t>
            </w:r>
          </w:p>
        </w:tc>
        <w:tc>
          <w:tcPr/>
          <w:p>
            <w:pPr>
              <w:pStyle w:val="Compact"/>
              <w:spacing w:after="40" w:line="288" w:lineRule="auto"/>
              <w:jc w:val="left"/>
            </w:pPr>
            <w:r>
              <w:rPr>
                <w:rFonts w:ascii="DejaVu Serif" w:hAnsi="DejaVu Serif" w:eastAsia="Noto Sans CJK SC"/>
                <w:color w:val="000000"/>
                <w:sz w:val="19"/>
              </w:rPr>
              <w:t xml:space="preserve">Detailed measurement model that quantifies family members’ economic, operational, and cultural contributions to the family, directly linked to decision-making weight and benefit distribution</w:t>
            </w:r>
          </w:p>
        </w:tc>
      </w:tr>
    </w:tbl>
    <w:bookmarkEnd w:id="289"/>
    <w:bookmarkEnd w:id="290"/>
    <w:bookmarkStart w:id="294" w:name="X895f935a13acc8136ff7e9bc92fb1640d017746"/>
    <w:p>
      <w:pPr>
        <w:pStyle w:val="Heading2"/>
        <w:spacing w:after="160" w:line="312" w:lineRule="auto"/>
        <w:jc w:val="left"/>
      </w:pPr>
      <w:r>
        <w:rPr>
          <w:rFonts w:ascii="DejaVu Serif" w:hAnsi="DejaVu Serif" w:eastAsia="Noto Serif CJK SC"/>
          <w:color w:val="000000"/>
          <w:sz w:val="30"/>
        </w:rPr>
        <w:t xml:space="preserve">C Series · Marriage and Family Organization</w:t>
      </w:r>
    </w:p>
    <w:bookmarkStart w:id="291" w:name="X1b3952b0590edd03631dd9ea909fc41c2da1f8d"/>
    <w:p>
      <w:pPr>
        <w:pStyle w:val="Heading3"/>
        <w:spacing w:after="120" w:line="312" w:lineRule="auto"/>
        <w:jc w:val="left"/>
      </w:pPr>
      <w:r>
        <w:rPr>
          <w:rFonts w:ascii="DejaVu Serif" w:hAnsi="DejaVu Serif" w:eastAsia="Noto Serif CJK SC"/>
          <w:color w:val="000000"/>
          <w:sz w:val="26"/>
        </w:rPr>
        <w:t xml:space="preserve">C.01.001: Recommended Global Implementation Plan for Wedding Ceremonies</w:t>
      </w:r>
    </w:p>
    <w:tbl>
      <w:tblPr>
        <w:tblStyle w:val="Table"/>
        <w:tblW w:type="auto" w:w="0"/>
        <w:jc w:val="left"/>
        <w:tblLook w:firstRow="1" w:lastRow="0" w:firstColumn="0" w:lastColumn="0" w:noHBand="0" w:noVBand="0" w:val="002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3960"/>
        <w:gridCol w:w="3960"/>
      </w:tblGrid>
      <w:tr>
        <w:trPr>
          <w:tblHeader w:val="on"/>
        </w:trPr>
        <w:tc>
          <w:tcPr/>
          <w:p>
            <w:pPr>
              <w:pStyle w:val="Compact"/>
              <w:spacing w:after="40" w:line="288" w:lineRule="auto"/>
              <w:jc w:val="left"/>
            </w:pPr>
            <w:r>
              <w:rPr>
                <w:rFonts w:ascii="DejaVu Serif" w:hAnsi="DejaVu Serif" w:eastAsia="Noto Sans CJK SC"/>
                <w:color w:val="000000"/>
                <w:sz w:val="19"/>
              </w:rPr>
              <w:t xml:space="preserve">Attribute</w:t>
            </w:r>
          </w:p>
        </w:tc>
        <w:tc>
          <w:tcPr/>
          <w:p>
            <w:pPr>
              <w:pStyle w:val="Compact"/>
              <w:spacing w:after="40" w:line="288" w:lineRule="auto"/>
              <w:jc w:val="left"/>
            </w:pPr>
            <w:r>
              <w:rPr>
                <w:rFonts w:ascii="DejaVu Serif" w:hAnsi="DejaVu Serif" w:eastAsia="Noto Sans CJK SC"/>
                <w:color w:val="000000"/>
                <w:sz w:val="19"/>
              </w:rPr>
              <w:t xml:space="preserve">Content</w:t>
            </w:r>
          </w:p>
        </w:tc>
      </w:tr>
      <w:tr>
        <w:tc>
          <w:tcPr/>
          <w:p>
            <w:pPr>
              <w:pStyle w:val="Compact"/>
              <w:spacing w:after="40" w:line="288" w:lineRule="auto"/>
              <w:jc w:val="left"/>
            </w:pPr>
            <w:r>
              <w:rPr>
                <w:rFonts w:ascii="DejaVu Serif" w:hAnsi="DejaVu Serif" w:eastAsia="Noto Sans CJK SC"/>
                <w:b/>
                <w:bCs/>
                <w:color w:val="000000"/>
                <w:sz w:val="19"/>
              </w:rPr>
              <w:t xml:space="preserve">Number of Articles</w:t>
            </w:r>
          </w:p>
        </w:tc>
        <w:tc>
          <w:tcPr/>
          <w:p>
            <w:pPr>
              <w:pStyle w:val="Compact"/>
              <w:spacing w:after="40" w:line="288" w:lineRule="auto"/>
              <w:jc w:val="left"/>
            </w:pPr>
            <w:r>
              <w:rPr>
                <w:rFonts w:ascii="DejaVu Serif" w:hAnsi="DejaVu Serif" w:eastAsia="Noto Sans CJK SC"/>
                <w:b/>
                <w:bCs/>
                <w:color w:val="000000"/>
                <w:sz w:val="19"/>
              </w:rPr>
              <w:t xml:space="preserve">+5 Articles</w:t>
            </w:r>
          </w:p>
        </w:tc>
      </w:tr>
    </w:tbl>
    <w:bookmarkEnd w:id="291"/>
    <w:bookmarkStart w:id="292" w:name="Xcbb92add5d3eca5890df89cf1a32b4fa7712302"/>
    <w:p>
      <w:pPr>
        <w:pStyle w:val="Heading3"/>
        <w:spacing w:after="120" w:line="312" w:lineRule="auto"/>
        <w:jc w:val="left"/>
      </w:pPr>
      <w:r>
        <w:rPr>
          <w:rFonts w:ascii="DejaVu Serif" w:hAnsi="DejaVu Serif" w:eastAsia="Noto Serif CJK SC"/>
          <w:color w:val="000000"/>
          <w:sz w:val="26"/>
        </w:rPr>
        <w:t xml:space="preserve">C.02.001: Implementation Rules for Smart Home Intervention in Household Division of Labor</w:t>
      </w:r>
    </w:p>
    <w:tbl>
      <w:tblPr>
        <w:tblStyle w:val="Table"/>
        <w:tblW w:type="auto" w:w="0"/>
        <w:jc w:val="left"/>
        <w:tblLook w:firstRow="1" w:lastRow="0" w:firstColumn="0" w:lastColumn="0" w:noHBand="0" w:noVBand="0" w:val="002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3960"/>
        <w:gridCol w:w="3960"/>
      </w:tblGrid>
      <w:tr>
        <w:trPr>
          <w:tblHeader w:val="on"/>
        </w:trPr>
        <w:tc>
          <w:tcPr/>
          <w:p>
            <w:pPr>
              <w:pStyle w:val="Compact"/>
              <w:spacing w:after="40" w:line="288" w:lineRule="auto"/>
              <w:jc w:val="left"/>
            </w:pPr>
            <w:r>
              <w:rPr>
                <w:rFonts w:ascii="DejaVu Serif" w:hAnsi="DejaVu Serif" w:eastAsia="Noto Sans CJK SC"/>
                <w:color w:val="000000"/>
                <w:sz w:val="19"/>
              </w:rPr>
              <w:t xml:space="preserve">Attribute</w:t>
            </w:r>
          </w:p>
        </w:tc>
        <w:tc>
          <w:tcPr/>
          <w:p>
            <w:pPr>
              <w:pStyle w:val="Compact"/>
              <w:spacing w:after="40" w:line="288" w:lineRule="auto"/>
              <w:jc w:val="left"/>
            </w:pPr>
            <w:r>
              <w:rPr>
                <w:rFonts w:ascii="DejaVu Serif" w:hAnsi="DejaVu Serif" w:eastAsia="Noto Sans CJK SC"/>
                <w:color w:val="000000"/>
                <w:sz w:val="19"/>
              </w:rPr>
              <w:t xml:space="preserve">Content</w:t>
            </w:r>
          </w:p>
        </w:tc>
      </w:tr>
      <w:tr>
        <w:tc>
          <w:tcPr/>
          <w:p>
            <w:pPr>
              <w:pStyle w:val="Compact"/>
              <w:spacing w:after="40" w:line="288" w:lineRule="auto"/>
              <w:jc w:val="left"/>
            </w:pPr>
            <w:r>
              <w:rPr>
                <w:rFonts w:ascii="DejaVu Serif" w:hAnsi="DejaVu Serif" w:eastAsia="Noto Sans CJK SC"/>
                <w:b/>
                <w:bCs/>
                <w:color w:val="000000"/>
                <w:sz w:val="19"/>
              </w:rPr>
              <w:t xml:space="preserve">Number of Articles</w:t>
            </w:r>
          </w:p>
        </w:tc>
        <w:tc>
          <w:tcPr/>
          <w:p>
            <w:pPr>
              <w:pStyle w:val="Compact"/>
              <w:spacing w:after="40" w:line="288" w:lineRule="auto"/>
              <w:jc w:val="left"/>
            </w:pPr>
            <w:r>
              <w:rPr>
                <w:rFonts w:ascii="DejaVu Serif" w:hAnsi="DejaVu Serif" w:eastAsia="Noto Sans CJK SC"/>
                <w:b/>
                <w:bCs/>
                <w:color w:val="000000"/>
                <w:sz w:val="19"/>
              </w:rPr>
              <w:t xml:space="preserve">+6 Articles</w:t>
            </w:r>
          </w:p>
        </w:tc>
      </w:tr>
    </w:tbl>
    <w:bookmarkEnd w:id="292"/>
    <w:bookmarkStart w:id="293" w:name="X38e302018386e9f6540a5033ba08a28a9742d9a"/>
    <w:p>
      <w:pPr>
        <w:pStyle w:val="Heading3"/>
        <w:spacing w:after="120" w:line="312" w:lineRule="auto"/>
        <w:jc w:val="left"/>
      </w:pPr>
      <w:r>
        <w:rPr>
          <w:rFonts w:ascii="DejaVu Serif" w:hAnsi="DejaVu Serif" w:eastAsia="Noto Serif CJK SC"/>
          <w:color w:val="000000"/>
          <w:sz w:val="26"/>
        </w:rPr>
        <w:t xml:space="preserve">C.03.001: Convention Table for Daily Life Routines and Work Arrangements</w:t>
      </w:r>
    </w:p>
    <w:tbl>
      <w:tblPr>
        <w:tblStyle w:val="Table"/>
        <w:tblW w:type="auto" w:w="0"/>
        <w:jc w:val="left"/>
        <w:tblLook w:firstRow="1" w:lastRow="0" w:firstColumn="0" w:lastColumn="0" w:noHBand="0" w:noVBand="0" w:val="002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3960"/>
        <w:gridCol w:w="3960"/>
      </w:tblGrid>
      <w:tr>
        <w:trPr>
          <w:tblHeader w:val="on"/>
        </w:trPr>
        <w:tc>
          <w:tcPr/>
          <w:p>
            <w:pPr>
              <w:pStyle w:val="Compact"/>
              <w:spacing w:after="40" w:line="288" w:lineRule="auto"/>
              <w:jc w:val="left"/>
            </w:pPr>
            <w:r>
              <w:rPr>
                <w:rFonts w:ascii="DejaVu Serif" w:hAnsi="DejaVu Serif" w:eastAsia="Noto Sans CJK SC"/>
                <w:color w:val="000000"/>
                <w:sz w:val="19"/>
              </w:rPr>
              <w:t xml:space="preserve">Attribute</w:t>
            </w:r>
          </w:p>
        </w:tc>
        <w:tc>
          <w:tcPr/>
          <w:p>
            <w:pPr>
              <w:pStyle w:val="Compact"/>
              <w:spacing w:after="40" w:line="288" w:lineRule="auto"/>
              <w:jc w:val="left"/>
            </w:pPr>
            <w:r>
              <w:rPr>
                <w:rFonts w:ascii="DejaVu Serif" w:hAnsi="DejaVu Serif" w:eastAsia="Noto Sans CJK SC"/>
                <w:color w:val="000000"/>
                <w:sz w:val="19"/>
              </w:rPr>
              <w:t xml:space="preserve">Content</w:t>
            </w:r>
          </w:p>
        </w:tc>
      </w:tr>
      <w:tr>
        <w:tc>
          <w:tcPr/>
          <w:p>
            <w:pPr>
              <w:pStyle w:val="Compact"/>
              <w:spacing w:after="40" w:line="288" w:lineRule="auto"/>
              <w:jc w:val="left"/>
            </w:pPr>
            <w:r>
              <w:rPr>
                <w:rFonts w:ascii="DejaVu Serif" w:hAnsi="DejaVu Serif" w:eastAsia="Noto Sans CJK SC"/>
                <w:b/>
                <w:bCs/>
                <w:color w:val="000000"/>
                <w:sz w:val="19"/>
              </w:rPr>
              <w:t xml:space="preserve">Number of Articles</w:t>
            </w:r>
          </w:p>
        </w:tc>
        <w:tc>
          <w:tcPr/>
          <w:p>
            <w:pPr>
              <w:pStyle w:val="Compact"/>
              <w:spacing w:after="40" w:line="288" w:lineRule="auto"/>
              <w:jc w:val="left"/>
            </w:pPr>
            <w:r>
              <w:rPr>
                <w:rFonts w:ascii="DejaVu Serif" w:hAnsi="DejaVu Serif" w:eastAsia="Noto Sans CJK SC"/>
                <w:b/>
                <w:bCs/>
                <w:color w:val="000000"/>
                <w:sz w:val="19"/>
              </w:rPr>
              <w:t xml:space="preserve">+4 Articles</w:t>
            </w:r>
          </w:p>
        </w:tc>
      </w:tr>
    </w:tbl>
    <w:p>
      <w:pPr>
        <w:pStyle w:val="BlockText"/>
        <w:spacing w:after="120" w:line="312" w:lineRule="auto"/>
      </w:pPr>
      <w:r>
        <w:rPr>
          <w:rFonts w:ascii="DejaVu Serif" w:hAnsi="DejaVu Serif" w:eastAsia="Noto Serif CJK SC"/>
          <w:color w:val="000000"/>
          <w:sz w:val="22"/>
        </w:rPr>
        <w:t xml:space="preserve">C.01–C.03 are technical annexes supporting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Charter of Marriage and Family Organization,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highly systematizing and automating family life.</w:t>
      </w:r>
      <w:r>
        <w:rPr>
          <w:rFonts w:ascii="DejaVu Serif" w:hAnsi="DejaVu Serif" w:eastAsia="Noto Serif CJK SC"/>
          <w:color w:val="000000"/>
          <w:sz w:val="22"/>
        </w:rPr>
        <w:t xml:space="preserve"> </w:t>
      </w:r>
      <w:r>
        <w:rPr>
          <w:rFonts w:ascii="DejaVu Serif" w:hAnsi="DejaVu Serif" w:eastAsia="Noto Serif CJK SC"/>
          <w:b/>
          <w:bCs/>
          <w:color w:val="000000"/>
          <w:sz w:val="22"/>
        </w:rPr>
        <w:t xml:space="preserve">Total of +15 Articles</w:t>
      </w:r>
      <w:r>
        <w:rPr>
          <w:rFonts w:ascii="DejaVu Serif" w:hAnsi="DejaVu Serif" w:eastAsia="Noto Serif CJK SC"/>
          <w:color w:val="000000"/>
          <w:sz w:val="22"/>
        </w:rPr>
        <w:t xml:space="preserve">.</w:t>
      </w:r>
    </w:p>
    <w:bookmarkEnd w:id="293"/>
    <w:bookmarkEnd w:id="294"/>
    <w:bookmarkStart w:id="297" w:name="d-series-security-and-civic-obligations"/>
    <w:p>
      <w:pPr>
        <w:pStyle w:val="Heading2"/>
        <w:spacing w:after="160" w:line="312" w:lineRule="auto"/>
        <w:jc w:val="left"/>
      </w:pPr>
      <w:r>
        <w:rPr>
          <w:rFonts w:ascii="DejaVu Serif" w:hAnsi="DejaVu Serif" w:eastAsia="Noto Serif CJK SC"/>
          <w:color w:val="000000"/>
          <w:sz w:val="30"/>
        </w:rPr>
        <w:t xml:space="preserve">D Series · Security and Civic Obligations</w:t>
      </w:r>
    </w:p>
    <w:bookmarkStart w:id="295" w:name="Xaa38d134bfe2882132fe4a8f1e6dfba6d9ee833"/>
    <w:p>
      <w:pPr>
        <w:pStyle w:val="Heading3"/>
        <w:spacing w:after="120" w:line="312" w:lineRule="auto"/>
        <w:jc w:val="left"/>
      </w:pPr>
      <w:r>
        <w:rPr>
          <w:rFonts w:ascii="DejaVu Serif" w:hAnsi="DejaVu Serif" w:eastAsia="Noto Serif CJK SC"/>
          <w:color w:val="000000"/>
          <w:sz w:val="26"/>
        </w:rPr>
        <w:t xml:space="preserve">D.01.001: Implementation Regulations for the Principle of Non-participation in War</w:t>
      </w:r>
    </w:p>
    <w:tbl>
      <w:tblPr>
        <w:tblStyle w:val="Table"/>
        <w:tblW w:type="pct" w:w="5000"/>
        <w:jc w:val="left"/>
        <w:tblLayout w:type="fixed"/>
        <w:tblLook w:firstRow="1" w:lastRow="0" w:firstColumn="0" w:lastColumn="0" w:noHBand="0" w:noVBand="0" w:val="002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3960"/>
        <w:gridCol w:w="3960"/>
      </w:tblGrid>
      <w:tr>
        <w:trPr>
          <w:tblHeader w:val="on"/>
        </w:trPr>
        <w:tc>
          <w:tcPr/>
          <w:p>
            <w:pPr>
              <w:pStyle w:val="Compact"/>
              <w:spacing w:after="40" w:line="288" w:lineRule="auto"/>
              <w:jc w:val="left"/>
            </w:pPr>
            <w:r>
              <w:rPr>
                <w:rFonts w:ascii="DejaVu Serif" w:hAnsi="DejaVu Serif" w:eastAsia="Noto Sans CJK SC"/>
                <w:color w:val="000000"/>
                <w:sz w:val="19"/>
              </w:rPr>
              <w:t xml:space="preserve">Attribute</w:t>
            </w:r>
          </w:p>
        </w:tc>
        <w:tc>
          <w:tcPr/>
          <w:p>
            <w:pPr>
              <w:pStyle w:val="Compact"/>
              <w:spacing w:after="40" w:line="288" w:lineRule="auto"/>
              <w:jc w:val="left"/>
            </w:pPr>
            <w:r>
              <w:rPr>
                <w:rFonts w:ascii="DejaVu Serif" w:hAnsi="DejaVu Serif" w:eastAsia="Noto Sans CJK SC"/>
                <w:color w:val="000000"/>
                <w:sz w:val="19"/>
              </w:rPr>
              <w:t xml:space="preserve">Content</w:t>
            </w:r>
          </w:p>
        </w:tc>
      </w:tr>
      <w:tr>
        <w:tc>
          <w:tcPr/>
          <w:p>
            <w:pPr>
              <w:pStyle w:val="Compact"/>
              <w:spacing w:after="40" w:line="288" w:lineRule="auto"/>
              <w:jc w:val="left"/>
            </w:pPr>
            <w:r>
              <w:rPr>
                <w:rFonts w:ascii="DejaVu Serif" w:hAnsi="DejaVu Serif" w:eastAsia="Noto Sans CJK SC"/>
                <w:b/>
                <w:bCs/>
                <w:color w:val="000000"/>
                <w:sz w:val="19"/>
              </w:rPr>
              <w:t xml:space="preserve">Number of Articles</w:t>
            </w:r>
          </w:p>
        </w:tc>
        <w:tc>
          <w:tcPr/>
          <w:p>
            <w:pPr>
              <w:pStyle w:val="Compact"/>
              <w:spacing w:after="40" w:line="288" w:lineRule="auto"/>
              <w:jc w:val="left"/>
            </w:pPr>
            <w:r>
              <w:rPr>
                <w:rFonts w:ascii="DejaVu Serif" w:hAnsi="DejaVu Serif" w:eastAsia="Noto Sans CJK SC"/>
                <w:b/>
                <w:bCs/>
                <w:color w:val="000000"/>
                <w:sz w:val="19"/>
              </w:rPr>
              <w:t xml:space="preserve">+21 Articles</w:t>
            </w:r>
          </w:p>
        </w:tc>
      </w:tr>
      <w:tr>
        <w:tc>
          <w:tcPr/>
          <w:p>
            <w:pPr>
              <w:pStyle w:val="Compact"/>
              <w:spacing w:after="40" w:line="288" w:lineRule="auto"/>
              <w:jc w:val="left"/>
            </w:pPr>
            <w:r>
              <w:rPr>
                <w:rFonts w:ascii="DejaVu Serif" w:hAnsi="DejaVu Serif" w:eastAsia="Noto Sans CJK SC"/>
                <w:b/>
                <w:bCs/>
                <w:color w:val="000000"/>
                <w:sz w:val="19"/>
              </w:rPr>
              <w:t xml:space="preserve">Positioning</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Specification of the main Charter’s principle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not participating in any war,</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including research on military service laws of various countries, exemption application pathways, and response strategies in extreme situations</w:t>
            </w:r>
          </w:p>
        </w:tc>
        <w:tc>
          <w:tcPr/>
          <w:p>
            <w:pPr>
              <w:pStyle w:val="Compact"/>
              <w:spacing w:after="40" w:line="288" w:lineRule="auto"/>
            </w:pPr>
          </w:p>
        </w:tc>
      </w:tr>
    </w:tbl>
    <w:bookmarkEnd w:id="295"/>
    <w:bookmarkStart w:id="296" w:name="X59164a1277f3389d2205ad6213e1a7efe9108d6"/>
    <w:p>
      <w:pPr>
        <w:pStyle w:val="Heading3"/>
        <w:spacing w:after="120" w:line="312" w:lineRule="auto"/>
        <w:jc w:val="left"/>
      </w:pPr>
      <w:r>
        <w:rPr>
          <w:rFonts w:ascii="DejaVu Serif" w:hAnsi="DejaVu Serif" w:eastAsia="Noto Serif CJK SC"/>
          <w:color w:val="000000"/>
          <w:sz w:val="26"/>
        </w:rPr>
        <w:t xml:space="preserve">D.02.001:</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Grand Code of Life Safety and Action</w:t>
      </w:r>
      <w:r>
        <w:rPr>
          <w:rFonts w:ascii="DejaVu Serif" w:hAnsi="DejaVu Serif" w:eastAsia="Noto Serif CJK SC"/>
          <w:color w:val="000000"/>
          <w:sz w:val="26"/>
        </w:rPr>
        <w:t xml:space="preserve">”</w:t>
      </w:r>
    </w:p>
    <w:tbl>
      <w:tblPr>
        <w:tblStyle w:val="Table"/>
        <w:tblW w:type="pct" w:w="5000"/>
        <w:jc w:val="left"/>
        <w:tblLayout w:type="fixed"/>
        <w:tblLook w:firstRow="1" w:lastRow="0" w:firstColumn="0" w:lastColumn="0" w:noHBand="0" w:noVBand="0" w:val="002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3960"/>
        <w:gridCol w:w="3960"/>
      </w:tblGrid>
      <w:tr>
        <w:trPr>
          <w:tblHeader w:val="on"/>
        </w:trPr>
        <w:tc>
          <w:tcPr/>
          <w:p>
            <w:pPr>
              <w:pStyle w:val="Compact"/>
              <w:spacing w:after="40" w:line="288" w:lineRule="auto"/>
              <w:jc w:val="left"/>
            </w:pPr>
            <w:r>
              <w:rPr>
                <w:rFonts w:ascii="DejaVu Serif" w:hAnsi="DejaVu Serif" w:eastAsia="Noto Sans CJK SC"/>
                <w:color w:val="000000"/>
                <w:sz w:val="19"/>
              </w:rPr>
              <w:t xml:space="preserve">Attribute</w:t>
            </w:r>
          </w:p>
        </w:tc>
        <w:tc>
          <w:tcPr/>
          <w:p>
            <w:pPr>
              <w:pStyle w:val="Compact"/>
              <w:spacing w:after="40" w:line="288" w:lineRule="auto"/>
              <w:jc w:val="left"/>
            </w:pPr>
            <w:r>
              <w:rPr>
                <w:rFonts w:ascii="DejaVu Serif" w:hAnsi="DejaVu Serif" w:eastAsia="Noto Sans CJK SC"/>
                <w:color w:val="000000"/>
                <w:sz w:val="19"/>
              </w:rPr>
              <w:t xml:space="preserve">Content</w:t>
            </w:r>
          </w:p>
        </w:tc>
      </w:tr>
      <w:tr>
        <w:tc>
          <w:tcPr/>
          <w:p>
            <w:pPr>
              <w:pStyle w:val="Compact"/>
              <w:spacing w:after="40" w:line="288" w:lineRule="auto"/>
              <w:jc w:val="left"/>
            </w:pPr>
            <w:r>
              <w:rPr>
                <w:rFonts w:ascii="DejaVu Serif" w:hAnsi="DejaVu Serif" w:eastAsia="Noto Sans CJK SC"/>
                <w:b/>
                <w:bCs/>
                <w:color w:val="000000"/>
                <w:sz w:val="19"/>
              </w:rPr>
              <w:t xml:space="preserve">Positioning</w:t>
            </w:r>
          </w:p>
        </w:tc>
        <w:tc>
          <w:tcPr/>
          <w:p>
            <w:pPr>
              <w:pStyle w:val="Compact"/>
              <w:spacing w:after="40" w:line="288" w:lineRule="auto"/>
              <w:jc w:val="left"/>
            </w:pPr>
            <w:r>
              <w:rPr>
                <w:rFonts w:ascii="DejaVu Serif" w:hAnsi="DejaVu Serif" w:eastAsia="Noto Sans CJK SC"/>
                <w:color w:val="000000"/>
                <w:sz w:val="19"/>
              </w:rPr>
              <w:t xml:space="preserve">Includes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Grand Code of Friendly Cooperation and Reasonableness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(85 Articles) and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Grand Code of Breach of Liability for Non-partner Cooperators</w:t>
            </w:r>
            <w:r>
              <w:rPr>
                <w:rFonts w:ascii="DejaVu Serif" w:hAnsi="DejaVu Serif" w:eastAsia="Noto Sans CJK SC"/>
                <w:color w:val="000000"/>
                <w:sz w:val="19"/>
              </w:rPr>
              <w:t xml:space="preserve">”</w:t>
            </w:r>
          </w:p>
        </w:tc>
      </w:tr>
    </w:tbl>
    <w:bookmarkEnd w:id="296"/>
    <w:bookmarkEnd w:id="297"/>
    <w:bookmarkStart w:id="299" w:name="e-series-identity-construction"/>
    <w:p>
      <w:pPr>
        <w:pStyle w:val="Heading2"/>
        <w:spacing w:after="160" w:line="312" w:lineRule="auto"/>
        <w:jc w:val="left"/>
      </w:pPr>
      <w:r>
        <w:rPr>
          <w:rFonts w:ascii="DejaVu Serif" w:hAnsi="DejaVu Serif" w:eastAsia="Noto Serif CJK SC"/>
          <w:color w:val="000000"/>
          <w:sz w:val="30"/>
        </w:rPr>
        <w:t xml:space="preserve">E Series · Identity Construction</w:t>
      </w:r>
    </w:p>
    <w:bookmarkStart w:id="298" w:name="Xe9afe7169aaf73a3f0c57de7c6d1e9602e7366d"/>
    <w:p>
      <w:pPr>
        <w:pStyle w:val="Heading3"/>
        <w:spacing w:after="120" w:line="312" w:lineRule="auto"/>
        <w:jc w:val="left"/>
      </w:pPr>
      <w:r>
        <w:rPr>
          <w:rFonts w:ascii="DejaVu Serif" w:hAnsi="DejaVu Serif" w:eastAsia="Noto Serif CJK SC"/>
          <w:color w:val="000000"/>
          <w:sz w:val="26"/>
        </w:rPr>
        <w:t xml:space="preserve">E.01.001:</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Cosmic Citizen</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Concept Practice and Identity Construction Guide</w:t>
      </w:r>
    </w:p>
    <w:tbl>
      <w:tblPr>
        <w:tblStyle w:val="Table"/>
        <w:tblW w:type="pct" w:w="5000"/>
        <w:jc w:val="left"/>
        <w:tblLayout w:type="fixed"/>
        <w:tblLook w:firstRow="1" w:lastRow="0" w:firstColumn="0" w:lastColumn="0" w:noHBand="0" w:noVBand="0" w:val="002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3960"/>
        <w:gridCol w:w="3960"/>
      </w:tblGrid>
      <w:tr>
        <w:trPr>
          <w:tblHeader w:val="on"/>
        </w:trPr>
        <w:tc>
          <w:tcPr/>
          <w:p>
            <w:pPr>
              <w:pStyle w:val="Compact"/>
              <w:spacing w:after="40" w:line="288" w:lineRule="auto"/>
              <w:jc w:val="left"/>
            </w:pPr>
            <w:r>
              <w:rPr>
                <w:rFonts w:ascii="DejaVu Serif" w:hAnsi="DejaVu Serif" w:eastAsia="Noto Sans CJK SC"/>
                <w:color w:val="000000"/>
                <w:sz w:val="19"/>
              </w:rPr>
              <w:t xml:space="preserve">Attribute</w:t>
            </w:r>
          </w:p>
        </w:tc>
        <w:tc>
          <w:tcPr/>
          <w:p>
            <w:pPr>
              <w:pStyle w:val="Compact"/>
              <w:spacing w:after="40" w:line="288" w:lineRule="auto"/>
              <w:jc w:val="left"/>
            </w:pPr>
            <w:r>
              <w:rPr>
                <w:rFonts w:ascii="DejaVu Serif" w:hAnsi="DejaVu Serif" w:eastAsia="Noto Sans CJK SC"/>
                <w:color w:val="000000"/>
                <w:sz w:val="19"/>
              </w:rPr>
              <w:t xml:space="preserve">Content</w:t>
            </w:r>
          </w:p>
        </w:tc>
      </w:tr>
      <w:tr>
        <w:tc>
          <w:tcPr/>
          <w:p>
            <w:pPr>
              <w:pStyle w:val="Compact"/>
              <w:spacing w:after="40" w:line="288" w:lineRule="auto"/>
              <w:jc w:val="left"/>
            </w:pPr>
            <w:r>
              <w:rPr>
                <w:rFonts w:ascii="DejaVu Serif" w:hAnsi="DejaVu Serif" w:eastAsia="Noto Sans CJK SC"/>
                <w:b/>
                <w:bCs/>
                <w:color w:val="000000"/>
                <w:sz w:val="19"/>
              </w:rPr>
              <w:t xml:space="preserve">Number of Articles</w:t>
            </w:r>
          </w:p>
        </w:tc>
        <w:tc>
          <w:tcPr/>
          <w:p>
            <w:pPr>
              <w:pStyle w:val="Compact"/>
              <w:spacing w:after="40" w:line="288" w:lineRule="auto"/>
              <w:jc w:val="left"/>
            </w:pPr>
            <w:r>
              <w:rPr>
                <w:rFonts w:ascii="DejaVu Serif" w:hAnsi="DejaVu Serif" w:eastAsia="Noto Sans CJK SC"/>
                <w:b/>
                <w:bCs/>
                <w:color w:val="000000"/>
                <w:sz w:val="19"/>
              </w:rPr>
              <w:t xml:space="preserve">+12 Articles</w:t>
            </w:r>
          </w:p>
        </w:tc>
      </w:tr>
      <w:tr>
        <w:tc>
          <w:tcPr/>
          <w:p>
            <w:pPr>
              <w:pStyle w:val="Compact"/>
              <w:spacing w:after="40" w:line="288" w:lineRule="auto"/>
              <w:jc w:val="left"/>
            </w:pPr>
            <w:r>
              <w:rPr>
                <w:rFonts w:ascii="DejaVu Serif" w:hAnsi="DejaVu Serif" w:eastAsia="Noto Sans CJK SC"/>
                <w:b/>
                <w:bCs/>
                <w:color w:val="000000"/>
                <w:sz w:val="19"/>
              </w:rPr>
              <w:t xml:space="preserve">Positioning</w:t>
            </w:r>
          </w:p>
        </w:tc>
        <w:tc>
          <w:tcPr/>
          <w:p>
            <w:pPr>
              <w:pStyle w:val="Compact"/>
              <w:spacing w:after="40" w:line="288" w:lineRule="auto"/>
              <w:jc w:val="left"/>
            </w:pPr>
            <w:r>
              <w:rPr>
                <w:rFonts w:ascii="DejaVu Serif" w:hAnsi="DejaVu Serif" w:eastAsia="Noto Sans CJK SC"/>
                <w:color w:val="000000"/>
                <w:sz w:val="19"/>
              </w:rPr>
              <w:t xml:space="preserve">To practically construct and maintain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Cosmic Citizen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supranational identity through technical means such as tax planning, identity configuration, and cross-border legal structure design</w:t>
            </w:r>
          </w:p>
        </w:tc>
      </w:tr>
    </w:tbl>
    <w:bookmarkEnd w:id="298"/>
    <w:bookmarkEnd w:id="299"/>
    <w:bookmarkStart w:id="301" w:name="f-series-interpersonal-relationships"/>
    <w:p>
      <w:pPr>
        <w:pStyle w:val="Heading2"/>
        <w:spacing w:after="160" w:line="312" w:lineRule="auto"/>
        <w:jc w:val="left"/>
      </w:pPr>
      <w:r>
        <w:rPr>
          <w:rFonts w:ascii="DejaVu Serif" w:hAnsi="DejaVu Serif" w:eastAsia="Noto Serif CJK SC"/>
          <w:color w:val="000000"/>
          <w:sz w:val="30"/>
        </w:rPr>
        <w:t xml:space="preserve">F Series · Interpersonal Relationships</w:t>
      </w:r>
    </w:p>
    <w:bookmarkStart w:id="300" w:name="X42fc7b96b1e5c8df02f0b95f7d64284cc8b2ec3"/>
    <w:p>
      <w:pPr>
        <w:pStyle w:val="Heading3"/>
        <w:spacing w:after="120" w:line="312" w:lineRule="auto"/>
        <w:jc w:val="left"/>
      </w:pPr>
      <w:r>
        <w:rPr>
          <w:rFonts w:ascii="DejaVu Serif" w:hAnsi="DejaVu Serif" w:eastAsia="Noto Serif CJK SC"/>
          <w:color w:val="000000"/>
          <w:sz w:val="26"/>
        </w:rPr>
        <w:t xml:space="preserve">F.01.001: Regulations for Peaceful Coexistence and Mutual Benefit for Soulmates, Close Friends, and Ally-Type Relationship Personnel</w:t>
      </w:r>
    </w:p>
    <w:tbl>
      <w:tblPr>
        <w:tblStyle w:val="Table"/>
        <w:tblW w:type="pct" w:w="5000"/>
        <w:jc w:val="left"/>
        <w:tblLayout w:type="fixed"/>
        <w:tblLook w:firstRow="1" w:lastRow="0" w:firstColumn="0" w:lastColumn="0" w:noHBand="0" w:noVBand="0" w:val="002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3960"/>
        <w:gridCol w:w="3960"/>
      </w:tblGrid>
      <w:tr>
        <w:trPr>
          <w:tblHeader w:val="on"/>
        </w:trPr>
        <w:tc>
          <w:tcPr/>
          <w:p>
            <w:pPr>
              <w:pStyle w:val="Compact"/>
              <w:spacing w:after="40" w:line="288" w:lineRule="auto"/>
              <w:jc w:val="left"/>
            </w:pPr>
            <w:r>
              <w:rPr>
                <w:rFonts w:ascii="DejaVu Serif" w:hAnsi="DejaVu Serif" w:eastAsia="Noto Sans CJK SC"/>
                <w:color w:val="000000"/>
                <w:sz w:val="19"/>
              </w:rPr>
              <w:t xml:space="preserve">Attribute</w:t>
            </w:r>
          </w:p>
        </w:tc>
        <w:tc>
          <w:tcPr/>
          <w:p>
            <w:pPr>
              <w:pStyle w:val="Compact"/>
              <w:spacing w:after="40" w:line="288" w:lineRule="auto"/>
              <w:jc w:val="left"/>
            </w:pPr>
            <w:r>
              <w:rPr>
                <w:rFonts w:ascii="DejaVu Serif" w:hAnsi="DejaVu Serif" w:eastAsia="Noto Sans CJK SC"/>
                <w:color w:val="000000"/>
                <w:sz w:val="19"/>
              </w:rPr>
              <w:t xml:space="preserve">Content</w:t>
            </w:r>
          </w:p>
        </w:tc>
      </w:tr>
      <w:tr>
        <w:tc>
          <w:tcPr/>
          <w:p>
            <w:pPr>
              <w:pStyle w:val="Compact"/>
              <w:spacing w:after="40" w:line="288" w:lineRule="auto"/>
              <w:jc w:val="left"/>
            </w:pPr>
            <w:r>
              <w:rPr>
                <w:rFonts w:ascii="DejaVu Serif" w:hAnsi="DejaVu Serif" w:eastAsia="Noto Sans CJK SC"/>
                <w:b/>
                <w:bCs/>
                <w:color w:val="000000"/>
                <w:sz w:val="19"/>
              </w:rPr>
              <w:t xml:space="preserve">Number of Articles</w:t>
            </w:r>
          </w:p>
        </w:tc>
        <w:tc>
          <w:tcPr/>
          <w:p>
            <w:pPr>
              <w:pStyle w:val="Compact"/>
              <w:spacing w:after="40" w:line="288" w:lineRule="auto"/>
              <w:jc w:val="left"/>
            </w:pPr>
            <w:r>
              <w:rPr>
                <w:rFonts w:ascii="DejaVu Serif" w:hAnsi="DejaVu Serif" w:eastAsia="Noto Sans CJK SC"/>
                <w:b/>
                <w:bCs/>
                <w:color w:val="000000"/>
                <w:sz w:val="19"/>
              </w:rPr>
              <w:t xml:space="preserve">+13 Articles</w:t>
            </w:r>
          </w:p>
        </w:tc>
      </w:tr>
      <w:tr>
        <w:tc>
          <w:tcPr/>
          <w:p>
            <w:pPr>
              <w:pStyle w:val="Compact"/>
              <w:spacing w:after="40" w:line="288" w:lineRule="auto"/>
              <w:jc w:val="left"/>
            </w:pPr>
            <w:r>
              <w:rPr>
                <w:rFonts w:ascii="DejaVu Serif" w:hAnsi="DejaVu Serif" w:eastAsia="Noto Sans CJK SC"/>
                <w:b/>
                <w:bCs/>
                <w:color w:val="000000"/>
                <w:sz w:val="19"/>
              </w:rPr>
              <w:t xml:space="preserve">Effective Date</w:t>
            </w:r>
          </w:p>
        </w:tc>
        <w:tc>
          <w:tcPr/>
          <w:p>
            <w:pPr>
              <w:pStyle w:val="Compact"/>
              <w:spacing w:after="40" w:line="288" w:lineRule="auto"/>
              <w:jc w:val="left"/>
            </w:pPr>
            <w:r>
              <w:rPr>
                <w:rFonts w:ascii="DejaVu Serif" w:hAnsi="DejaVu Serif" w:eastAsia="Noto Sans CJK SC"/>
                <w:color w:val="000000"/>
                <w:sz w:val="19"/>
              </w:rPr>
              <w:t xml:space="preserve">February 28, 2026 (retroactively applicable to the effective date of the main Charter)</w:t>
            </w:r>
          </w:p>
        </w:tc>
      </w:tr>
      <w:tr>
        <w:tc>
          <w:tcPr/>
          <w:p>
            <w:pPr>
              <w:pStyle w:val="Compact"/>
              <w:spacing w:after="40" w:line="288" w:lineRule="auto"/>
              <w:jc w:val="left"/>
            </w:pPr>
            <w:r>
              <w:rPr>
                <w:rFonts w:ascii="DejaVu Serif" w:hAnsi="DejaVu Serif" w:eastAsia="Noto Sans CJK SC"/>
                <w:b/>
                <w:bCs/>
                <w:color w:val="000000"/>
                <w:sz w:val="19"/>
              </w:rPr>
              <w:t xml:space="preserve">Positioning</w:t>
            </w:r>
          </w:p>
        </w:tc>
        <w:tc>
          <w:tcPr/>
          <w:p>
            <w:pPr>
              <w:pStyle w:val="Compact"/>
              <w:spacing w:after="40" w:line="288" w:lineRule="auto"/>
              <w:jc w:val="left"/>
            </w:pPr>
            <w:r>
              <w:rPr>
                <w:rFonts w:ascii="DejaVu Serif" w:hAnsi="DejaVu Serif" w:eastAsia="Noto Sans CJK SC"/>
                <w:color w:val="000000"/>
                <w:sz w:val="19"/>
              </w:rPr>
              <w:t xml:space="preserve">To regulate interpersonal relationships that are intimate but not marital/familial, clarifying principles such as mutual respect, privacy protection, open communication, and conflict resolution. Has completely replaced the earlier version Annex A.03.001</w:t>
            </w:r>
          </w:p>
        </w:tc>
      </w:tr>
    </w:tbl>
    <w:bookmarkEnd w:id="300"/>
    <w:bookmarkEnd w:id="301"/>
    <w:bookmarkStart w:id="303" w:name="g-series-terminology-explanation"/>
    <w:p>
      <w:pPr>
        <w:pStyle w:val="Heading2"/>
        <w:spacing w:after="160" w:line="312" w:lineRule="auto"/>
        <w:jc w:val="left"/>
      </w:pPr>
      <w:r>
        <w:rPr>
          <w:rFonts w:ascii="DejaVu Serif" w:hAnsi="DejaVu Serif" w:eastAsia="Noto Serif CJK SC"/>
          <w:color w:val="000000"/>
          <w:sz w:val="30"/>
        </w:rPr>
        <w:t xml:space="preserve">G Series · Terminology Explanation</w:t>
      </w:r>
    </w:p>
    <w:bookmarkStart w:id="302" w:name="X91885699f4a55da016269f5aae1cbca003d3d88"/>
    <w:p>
      <w:pPr>
        <w:pStyle w:val="Heading3"/>
        <w:spacing w:after="120" w:line="312" w:lineRule="auto"/>
        <w:jc w:val="left"/>
      </w:pPr>
      <w:r>
        <w:rPr>
          <w:rFonts w:ascii="DejaVu Serif" w:hAnsi="DejaVu Serif" w:eastAsia="Noto Serif CJK SC"/>
          <w:color w:val="000000"/>
          <w:sz w:val="26"/>
        </w:rPr>
        <w:t xml:space="preserve">G.01.001: Explanation on the Meaning of the Term</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Mandatory Provisions of Law</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in Institutional Documents or Contracts</w:t>
      </w:r>
    </w:p>
    <w:tbl>
      <w:tblPr>
        <w:tblStyle w:val="Table"/>
        <w:tblW w:type="pct" w:w="5000"/>
        <w:jc w:val="left"/>
        <w:tblLayout w:type="fixed"/>
        <w:tblLook w:firstRow="1" w:lastRow="0" w:firstColumn="0" w:lastColumn="0" w:noHBand="0" w:noVBand="0" w:val="002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3960"/>
        <w:gridCol w:w="3960"/>
      </w:tblGrid>
      <w:tr>
        <w:trPr>
          <w:tblHeader w:val="on"/>
        </w:trPr>
        <w:tc>
          <w:tcPr/>
          <w:p>
            <w:pPr>
              <w:pStyle w:val="Compact"/>
              <w:spacing w:after="40" w:line="288" w:lineRule="auto"/>
              <w:jc w:val="left"/>
            </w:pPr>
            <w:r>
              <w:rPr>
                <w:rFonts w:ascii="DejaVu Serif" w:hAnsi="DejaVu Serif" w:eastAsia="Noto Sans CJK SC"/>
                <w:color w:val="000000"/>
                <w:sz w:val="19"/>
              </w:rPr>
              <w:t xml:space="preserve">Attribute</w:t>
            </w:r>
          </w:p>
        </w:tc>
        <w:tc>
          <w:tcPr/>
          <w:p>
            <w:pPr>
              <w:pStyle w:val="Compact"/>
              <w:spacing w:after="40" w:line="288" w:lineRule="auto"/>
              <w:jc w:val="left"/>
            </w:pPr>
            <w:r>
              <w:rPr>
                <w:rFonts w:ascii="DejaVu Serif" w:hAnsi="DejaVu Serif" w:eastAsia="Noto Sans CJK SC"/>
                <w:color w:val="000000"/>
                <w:sz w:val="19"/>
              </w:rPr>
              <w:t xml:space="preserve">Content</w:t>
            </w:r>
          </w:p>
        </w:tc>
      </w:tr>
      <w:tr>
        <w:tc>
          <w:tcPr/>
          <w:p>
            <w:pPr>
              <w:pStyle w:val="Compact"/>
              <w:spacing w:after="40" w:line="288" w:lineRule="auto"/>
              <w:jc w:val="left"/>
            </w:pPr>
            <w:r>
              <w:rPr>
                <w:rFonts w:ascii="DejaVu Serif" w:hAnsi="DejaVu Serif" w:eastAsia="Noto Sans CJK SC"/>
                <w:b/>
                <w:bCs/>
                <w:color w:val="000000"/>
                <w:sz w:val="19"/>
              </w:rPr>
              <w:t xml:space="preserve">Release Date</w:t>
            </w:r>
          </w:p>
        </w:tc>
        <w:tc>
          <w:tcPr/>
          <w:p>
            <w:pPr>
              <w:pStyle w:val="Compact"/>
              <w:spacing w:after="40" w:line="288" w:lineRule="auto"/>
              <w:jc w:val="left"/>
            </w:pPr>
            <w:r>
              <w:rPr>
                <w:rFonts w:ascii="DejaVu Serif" w:hAnsi="DejaVu Serif" w:eastAsia="Noto Sans CJK SC"/>
                <w:color w:val="000000"/>
                <w:sz w:val="19"/>
              </w:rPr>
              <w:t xml:space="preserve">March 15, 2026</w:t>
            </w:r>
          </w:p>
        </w:tc>
      </w:tr>
      <w:tr>
        <w:tc>
          <w:tcPr/>
          <w:p>
            <w:pPr>
              <w:pStyle w:val="Compact"/>
              <w:spacing w:after="40" w:line="288" w:lineRule="auto"/>
              <w:jc w:val="left"/>
            </w:pPr>
            <w:r>
              <w:rPr>
                <w:rFonts w:ascii="DejaVu Serif" w:hAnsi="DejaVu Serif" w:eastAsia="Noto Sans CJK SC"/>
                <w:b/>
                <w:bCs/>
                <w:color w:val="000000"/>
                <w:sz w:val="19"/>
              </w:rPr>
              <w:t xml:space="preserve">Positioning</w:t>
            </w:r>
          </w:p>
        </w:tc>
        <w:tc>
          <w:tcPr/>
          <w:p>
            <w:pPr>
              <w:pStyle w:val="Compact"/>
              <w:spacing w:after="40" w:line="288" w:lineRule="auto"/>
              <w:jc w:val="left"/>
            </w:pPr>
            <w:r>
              <w:rPr>
                <w:rFonts w:ascii="DejaVu Serif" w:hAnsi="DejaVu Serif" w:eastAsia="Noto Sans CJK SC"/>
                <w:color w:val="000000"/>
                <w:sz w:val="19"/>
              </w:rPr>
              <w:t xml:space="preserve">Defines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Mandatory Provisions of Law</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 clarifies three categories of exceptions</w:t>
            </w:r>
          </w:p>
        </w:tc>
      </w:tr>
    </w:tbl>
    <w:bookmarkEnd w:id="302"/>
    <w:bookmarkEnd w:id="303"/>
    <w:bookmarkStart w:id="305" w:name="h-series-interpretive-letters"/>
    <w:p>
      <w:pPr>
        <w:pStyle w:val="Heading2"/>
        <w:spacing w:after="160" w:line="312" w:lineRule="auto"/>
        <w:jc w:val="left"/>
      </w:pPr>
      <w:r>
        <w:rPr>
          <w:rFonts w:ascii="DejaVu Serif" w:hAnsi="DejaVu Serif" w:eastAsia="Noto Serif CJK SC"/>
          <w:color w:val="000000"/>
          <w:sz w:val="30"/>
        </w:rPr>
        <w:t xml:space="preserve">H Series · Interpretive Letters</w:t>
      </w:r>
    </w:p>
    <w:bookmarkStart w:id="304" w:name="X3b81994fdc2a528d9575e63afb20c4955d9841e"/>
    <w:p>
      <w:pPr>
        <w:pStyle w:val="Heading3"/>
        <w:spacing w:after="120" w:line="312" w:lineRule="auto"/>
        <w:jc w:val="left"/>
      </w:pPr>
      <w:r>
        <w:rPr>
          <w:rFonts w:ascii="DejaVu Serif" w:hAnsi="DejaVu Serif" w:eastAsia="Noto Serif CJK SC"/>
          <w:color w:val="000000"/>
          <w:sz w:val="26"/>
        </w:rPr>
        <w:t xml:space="preserve">H.01.001: Interpretive Letter of the</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Charter of Life Action</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(2026·No. 1)</w:t>
      </w:r>
    </w:p>
    <w:tbl>
      <w:tblPr>
        <w:tblStyle w:val="Table"/>
        <w:tblW w:type="pct" w:w="5000"/>
        <w:jc w:val="left"/>
        <w:tblLayout w:type="fixed"/>
        <w:tblLook w:firstRow="1" w:lastRow="0" w:firstColumn="0" w:lastColumn="0" w:noHBand="0" w:noVBand="0" w:val="002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3960"/>
        <w:gridCol w:w="3960"/>
      </w:tblGrid>
      <w:tr>
        <w:trPr>
          <w:tblHeader w:val="on"/>
        </w:trPr>
        <w:tc>
          <w:tcPr/>
          <w:p>
            <w:pPr>
              <w:pStyle w:val="Compact"/>
              <w:spacing w:after="40" w:line="288" w:lineRule="auto"/>
              <w:jc w:val="left"/>
            </w:pPr>
            <w:r>
              <w:rPr>
                <w:rFonts w:ascii="DejaVu Serif" w:hAnsi="DejaVu Serif" w:eastAsia="Noto Sans CJK SC"/>
                <w:color w:val="000000"/>
                <w:sz w:val="19"/>
              </w:rPr>
              <w:t xml:space="preserve">Attribute</w:t>
            </w:r>
          </w:p>
        </w:tc>
        <w:tc>
          <w:tcPr/>
          <w:p>
            <w:pPr>
              <w:pStyle w:val="Compact"/>
              <w:spacing w:after="40" w:line="288" w:lineRule="auto"/>
              <w:jc w:val="left"/>
            </w:pPr>
            <w:r>
              <w:rPr>
                <w:rFonts w:ascii="DejaVu Serif" w:hAnsi="DejaVu Serif" w:eastAsia="Noto Sans CJK SC"/>
                <w:color w:val="000000"/>
                <w:sz w:val="19"/>
              </w:rPr>
              <w:t xml:space="preserve">Content</w:t>
            </w:r>
          </w:p>
        </w:tc>
      </w:tr>
      <w:tr>
        <w:tc>
          <w:tcPr/>
          <w:p>
            <w:pPr>
              <w:pStyle w:val="Compact"/>
              <w:spacing w:after="40" w:line="288" w:lineRule="auto"/>
              <w:jc w:val="left"/>
            </w:pPr>
            <w:r>
              <w:rPr>
                <w:rFonts w:ascii="DejaVu Serif" w:hAnsi="DejaVu Serif" w:eastAsia="Noto Sans CJK SC"/>
                <w:b/>
                <w:bCs/>
                <w:color w:val="000000"/>
                <w:sz w:val="19"/>
              </w:rPr>
              <w:t xml:space="preserve">Effective Date</w:t>
            </w:r>
          </w:p>
        </w:tc>
        <w:tc>
          <w:tcPr/>
          <w:p>
            <w:pPr>
              <w:pStyle w:val="Compact"/>
              <w:spacing w:after="40" w:line="288" w:lineRule="auto"/>
              <w:jc w:val="left"/>
            </w:pPr>
            <w:r>
              <w:rPr>
                <w:rFonts w:ascii="DejaVu Serif" w:hAnsi="DejaVu Serif" w:eastAsia="Noto Sans CJK SC"/>
                <w:color w:val="000000"/>
                <w:sz w:val="19"/>
              </w:rPr>
              <w:t xml:space="preserve">August 12, 2026 (retroactively applicable)</w:t>
            </w:r>
          </w:p>
        </w:tc>
      </w:tr>
      <w:tr>
        <w:tc>
          <w:tcPr/>
          <w:p>
            <w:pPr>
              <w:pStyle w:val="Compact"/>
              <w:spacing w:after="40" w:line="288" w:lineRule="auto"/>
              <w:jc w:val="left"/>
            </w:pPr>
            <w:r>
              <w:rPr>
                <w:rFonts w:ascii="DejaVu Serif" w:hAnsi="DejaVu Serif" w:eastAsia="Noto Sans CJK SC"/>
                <w:b/>
                <w:bCs/>
                <w:color w:val="000000"/>
                <w:sz w:val="19"/>
              </w:rPr>
              <w:t xml:space="preserve">Positioning</w:t>
            </w:r>
          </w:p>
        </w:tc>
        <w:tc>
          <w:tcPr/>
          <w:p>
            <w:pPr>
              <w:pStyle w:val="Compact"/>
              <w:spacing w:after="40" w:line="288" w:lineRule="auto"/>
              <w:jc w:val="left"/>
            </w:pPr>
            <w:r>
              <w:rPr>
                <w:rFonts w:ascii="DejaVu Serif" w:hAnsi="DejaVu Serif" w:eastAsia="Noto Sans CJK SC"/>
                <w:color w:val="000000"/>
                <w:sz w:val="19"/>
              </w:rPr>
              <w:t xml:space="preserve">Authoritative interpretation of the penalty descriptions such as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imprisonment for more than seven years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Articles 12 and 13 of the main Charter—the penalty level descriptions are risk boundary markers, setting limits rather than authorizing</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304"/>
    <w:bookmarkEnd w:id="305"/>
    <w:bookmarkEnd w:id="306"/>
    <w:bookmarkStart w:id="326" w:name="part-four-appendix-system"/>
    <w:p>
      <w:pPr>
        <w:pStyle w:val="Heading1"/>
        <w:spacing w:after="240" w:line="312" w:lineRule="auto"/>
        <w:jc w:val="center"/>
      </w:pPr>
      <w:r>
        <w:rPr>
          <w:rFonts w:ascii="DejaVu Serif" w:hAnsi="DejaVu Serif" w:eastAsia="Noto Serif CJK SC"/>
          <w:color w:val="000000"/>
          <w:sz w:val="34"/>
        </w:rPr>
        <w:t xml:space="preserve">Part Four · Appendix System</w:t>
      </w:r>
    </w:p>
    <w:p>
      <w:pPr>
        <w:pStyle w:val="BlockText"/>
        <w:spacing w:after="120" w:line="312" w:lineRule="auto"/>
      </w:pPr>
      <w:r>
        <w:rPr>
          <w:rFonts w:ascii="DejaVu Serif" w:hAnsi="DejaVu Serif" w:eastAsia="Noto Serif CJK SC"/>
          <w:color w:val="000000"/>
          <w:sz w:val="22"/>
        </w:rPr>
        <w:t xml:space="preserve">The Appendix is an independent filing/archiving/supplementary document system,</w:t>
      </w:r>
      <w:r>
        <w:rPr>
          <w:rFonts w:ascii="DejaVu Serif" w:hAnsi="DejaVu Serif" w:eastAsia="Noto Serif CJK SC"/>
          <w:color w:val="000000"/>
          <w:sz w:val="22"/>
        </w:rPr>
        <w:t xml:space="preserve"> </w:t>
      </w:r>
      <w:r>
        <w:rPr>
          <w:rFonts w:ascii="DejaVu Serif" w:hAnsi="DejaVu Serif" w:eastAsia="Noto Serif CJK SC"/>
          <w:b/>
          <w:bCs/>
          <w:color w:val="000000"/>
          <w:sz w:val="22"/>
        </w:rPr>
        <w:t xml:space="preserve">not counted among the 266 formal articles</w:t>
      </w:r>
      <w:r>
        <w:rPr>
          <w:rFonts w:ascii="DejaVu Serif" w:hAnsi="DejaVu Serif" w:eastAsia="Noto Serif CJK SC"/>
          <w:color w:val="000000"/>
          <w:sz w:val="22"/>
        </w:rPr>
        <w:t xml:space="preserve">, but serving as an integral practical support and evidence system for the Charter as a whole. In case of conflict between the Appendix and the main system, the main Charter, Amendments, and Annexes shall prevail; in case of internal conflict within the Appendix, the most recently filed document shall prevail.</w:t>
      </w:r>
    </w:p>
    <w:bookmarkStart w:id="320" w:name="Xb3d10542659e73d3007e5ce1bb53b0f9fbb05b3"/>
    <w:p>
      <w:pPr>
        <w:pStyle w:val="Heading2"/>
        <w:spacing w:after="160" w:line="312" w:lineRule="auto"/>
        <w:jc w:val="left"/>
      </w:pPr>
      <w:r>
        <w:rPr>
          <w:rFonts w:ascii="DejaVu Serif" w:hAnsi="DejaVu Serif" w:eastAsia="Noto Serif CJK SC"/>
          <w:color w:val="000000"/>
          <w:sz w:val="30"/>
        </w:rPr>
        <w:t xml:space="preserve">Chapter One · Appendix (Documents to be Filed)</w:t>
      </w:r>
    </w:p>
    <w:p>
      <w:pPr>
        <w:pStyle w:val="BlockText"/>
        <w:spacing w:after="120" w:line="312" w:lineRule="auto"/>
      </w:pPr>
      <w:r>
        <w:rPr>
          <w:rFonts w:ascii="DejaVu Serif" w:hAnsi="DejaVu Serif" w:eastAsia="Noto Serif CJK SC"/>
          <w:color w:val="000000"/>
          <w:sz w:val="22"/>
        </w:rPr>
        <w:t xml:space="preserve">Various practical documents requiring filing and archiving, categorized by function into the following subfolders.</w:t>
      </w:r>
    </w:p>
    <w:bookmarkStart w:id="307" w:name="i.-appendix-instrumental-documents"/>
    <w:p>
      <w:pPr>
        <w:pStyle w:val="Heading3"/>
        <w:spacing w:after="120" w:line="312" w:lineRule="auto"/>
        <w:jc w:val="left"/>
      </w:pPr>
      <w:r>
        <w:rPr>
          <w:rFonts w:ascii="DejaVu Serif" w:hAnsi="DejaVu Serif" w:eastAsia="Noto Serif CJK SC"/>
          <w:color w:val="000000"/>
          <w:sz w:val="26"/>
        </w:rPr>
        <w:t xml:space="preserve">I. Appendix: Instrumental Documents</w:t>
      </w:r>
    </w:p>
    <w:tbl>
      <w:tblPr>
        <w:tblStyle w:val="Table"/>
        <w:tblW w:type="pct" w:w="5000"/>
        <w:jc w:val="left"/>
        <w:tblLayout w:type="fixed"/>
        <w:tblLook w:firstRow="1" w:lastRow="0" w:firstColumn="0" w:lastColumn="0" w:noHBand="0" w:noVBand="0" w:val="002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3960"/>
        <w:gridCol w:w="3960"/>
      </w:tblGrid>
      <w:tr>
        <w:trPr>
          <w:tblHeader w:val="on"/>
        </w:trPr>
        <w:tc>
          <w:tcPr/>
          <w:p>
            <w:pPr>
              <w:pStyle w:val="Compact"/>
              <w:spacing w:after="40" w:line="288" w:lineRule="auto"/>
              <w:jc w:val="left"/>
            </w:pPr>
            <w:r>
              <w:rPr>
                <w:rFonts w:ascii="DejaVu Serif" w:hAnsi="DejaVu Serif" w:eastAsia="Noto Sans CJK SC"/>
                <w:color w:val="000000"/>
                <w:sz w:val="19"/>
              </w:rPr>
              <w:t xml:space="preserve">Attribute</w:t>
            </w:r>
          </w:p>
        </w:tc>
        <w:tc>
          <w:tcPr/>
          <w:p>
            <w:pPr>
              <w:pStyle w:val="Compact"/>
              <w:spacing w:after="40" w:line="288" w:lineRule="auto"/>
              <w:jc w:val="left"/>
            </w:pPr>
            <w:r>
              <w:rPr>
                <w:rFonts w:ascii="DejaVu Serif" w:hAnsi="DejaVu Serif" w:eastAsia="Noto Sans CJK SC"/>
                <w:color w:val="000000"/>
                <w:sz w:val="19"/>
              </w:rPr>
              <w:t xml:space="preserve">Content</w:t>
            </w:r>
          </w:p>
        </w:tc>
      </w:tr>
      <w:tr>
        <w:tc>
          <w:tcPr/>
          <w:p>
            <w:pPr>
              <w:pStyle w:val="Compact"/>
              <w:spacing w:after="40" w:line="288" w:lineRule="auto"/>
              <w:jc w:val="left"/>
            </w:pPr>
            <w:r>
              <w:rPr>
                <w:rFonts w:ascii="DejaVu Serif" w:hAnsi="DejaVu Serif" w:eastAsia="Noto Sans CJK SC"/>
                <w:b/>
                <w:bCs/>
                <w:color w:val="000000"/>
                <w:sz w:val="19"/>
              </w:rPr>
              <w:t xml:space="preserve">Positioning</w:t>
            </w:r>
          </w:p>
        </w:tc>
        <w:tc>
          <w:tcPr/>
          <w:p>
            <w:pPr>
              <w:pStyle w:val="Compact"/>
              <w:spacing w:after="40" w:line="288" w:lineRule="auto"/>
              <w:jc w:val="left"/>
            </w:pPr>
            <w:r>
              <w:rPr>
                <w:rFonts w:ascii="DejaVu Serif" w:hAnsi="DejaVu Serif" w:eastAsia="Noto Sans CJK SC"/>
                <w:color w:val="000000"/>
                <w:sz w:val="19"/>
              </w:rPr>
              <w:t xml:space="preserve">Various instrumental and operational documents and templates</w:t>
            </w:r>
          </w:p>
        </w:tc>
      </w:tr>
      <w:tr>
        <w:tc>
          <w:tcPr/>
          <w:p>
            <w:pPr>
              <w:pStyle w:val="Compact"/>
              <w:spacing w:after="40" w:line="288" w:lineRule="auto"/>
              <w:jc w:val="left"/>
            </w:pPr>
            <w:r>
              <w:rPr>
                <w:rFonts w:ascii="DejaVu Serif" w:hAnsi="DejaVu Serif" w:eastAsia="Noto Sans CJK SC"/>
                <w:b/>
                <w:bCs/>
                <w:color w:val="000000"/>
                <w:sz w:val="19"/>
              </w:rPr>
              <w:t xml:space="preserve">Scope of Content</w:t>
            </w:r>
          </w:p>
        </w:tc>
        <w:tc>
          <w:tcPr/>
          <w:p>
            <w:pPr>
              <w:pStyle w:val="Compact"/>
              <w:spacing w:after="40" w:line="288" w:lineRule="auto"/>
              <w:jc w:val="left"/>
            </w:pPr>
            <w:r>
              <w:rPr>
                <w:rFonts w:ascii="DejaVu Serif" w:hAnsi="DejaVu Serif" w:eastAsia="Noto Sans CJK SC"/>
                <w:color w:val="000000"/>
                <w:sz w:val="19"/>
              </w:rPr>
              <w:t xml:space="preserve">Operation guides, fillable forms, process templates, standardized documents, etc.</w:t>
            </w:r>
          </w:p>
        </w:tc>
      </w:tr>
    </w:tbl>
    <w:bookmarkEnd w:id="307"/>
    <w:bookmarkStart w:id="308" w:name="ii.-appendix-regarding-work-arrangements"/>
    <w:p>
      <w:pPr>
        <w:pStyle w:val="Heading3"/>
        <w:spacing w:after="120" w:line="312" w:lineRule="auto"/>
        <w:jc w:val="left"/>
      </w:pPr>
      <w:r>
        <w:rPr>
          <w:rFonts w:ascii="DejaVu Serif" w:hAnsi="DejaVu Serif" w:eastAsia="Noto Serif CJK SC"/>
          <w:color w:val="000000"/>
          <w:sz w:val="26"/>
        </w:rPr>
        <w:t xml:space="preserve">II. Appendix: Regarding Work Arrangements</w:t>
      </w:r>
    </w:p>
    <w:tbl>
      <w:tblPr>
        <w:tblStyle w:val="Table"/>
        <w:tblW w:type="pct" w:w="5000"/>
        <w:jc w:val="left"/>
        <w:tblLayout w:type="fixed"/>
        <w:tblLook w:firstRow="1" w:lastRow="0" w:firstColumn="0" w:lastColumn="0" w:noHBand="0" w:noVBand="0" w:val="002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3960"/>
        <w:gridCol w:w="3960"/>
      </w:tblGrid>
      <w:tr>
        <w:trPr>
          <w:tblHeader w:val="on"/>
        </w:trPr>
        <w:tc>
          <w:tcPr/>
          <w:p>
            <w:pPr>
              <w:pStyle w:val="Compact"/>
              <w:spacing w:after="40" w:line="288" w:lineRule="auto"/>
              <w:jc w:val="left"/>
            </w:pPr>
            <w:r>
              <w:rPr>
                <w:rFonts w:ascii="DejaVu Serif" w:hAnsi="DejaVu Serif" w:eastAsia="Noto Sans CJK SC"/>
                <w:color w:val="000000"/>
                <w:sz w:val="19"/>
              </w:rPr>
              <w:t xml:space="preserve">Attribute</w:t>
            </w:r>
          </w:p>
        </w:tc>
        <w:tc>
          <w:tcPr/>
          <w:p>
            <w:pPr>
              <w:pStyle w:val="Compact"/>
              <w:spacing w:after="40" w:line="288" w:lineRule="auto"/>
              <w:jc w:val="left"/>
            </w:pPr>
            <w:r>
              <w:rPr>
                <w:rFonts w:ascii="DejaVu Serif" w:hAnsi="DejaVu Serif" w:eastAsia="Noto Sans CJK SC"/>
                <w:color w:val="000000"/>
                <w:sz w:val="19"/>
              </w:rPr>
              <w:t xml:space="preserve">Content</w:t>
            </w:r>
          </w:p>
        </w:tc>
      </w:tr>
      <w:tr>
        <w:tc>
          <w:tcPr/>
          <w:p>
            <w:pPr>
              <w:pStyle w:val="Compact"/>
              <w:spacing w:after="40" w:line="288" w:lineRule="auto"/>
              <w:jc w:val="left"/>
            </w:pPr>
            <w:r>
              <w:rPr>
                <w:rFonts w:ascii="DejaVu Serif" w:hAnsi="DejaVu Serif" w:eastAsia="Noto Sans CJK SC"/>
                <w:b/>
                <w:bCs/>
                <w:color w:val="000000"/>
                <w:sz w:val="19"/>
              </w:rPr>
              <w:t xml:space="preserve">Positioning</w:t>
            </w:r>
          </w:p>
        </w:tc>
        <w:tc>
          <w:tcPr/>
          <w:p>
            <w:pPr>
              <w:pStyle w:val="Compact"/>
              <w:spacing w:after="40" w:line="288" w:lineRule="auto"/>
              <w:jc w:val="left"/>
            </w:pPr>
            <w:r>
              <w:rPr>
                <w:rFonts w:ascii="DejaVu Serif" w:hAnsi="DejaVu Serif" w:eastAsia="Noto Sans CJK SC"/>
                <w:color w:val="000000"/>
                <w:sz w:val="19"/>
              </w:rPr>
              <w:t xml:space="preserve">Work arrangement related filings</w:t>
            </w:r>
          </w:p>
        </w:tc>
      </w:tr>
      <w:tr>
        <w:tc>
          <w:tcPr/>
          <w:p>
            <w:pPr>
              <w:pStyle w:val="Compact"/>
              <w:spacing w:after="40" w:line="288" w:lineRule="auto"/>
              <w:jc w:val="left"/>
            </w:pPr>
            <w:r>
              <w:rPr>
                <w:rFonts w:ascii="DejaVu Serif" w:hAnsi="DejaVu Serif" w:eastAsia="Noto Sans CJK SC"/>
                <w:b/>
                <w:bCs/>
                <w:color w:val="000000"/>
                <w:sz w:val="19"/>
              </w:rPr>
              <w:t xml:space="preserve">Scope of Content</w:t>
            </w:r>
          </w:p>
        </w:tc>
        <w:tc>
          <w:tcPr/>
          <w:p>
            <w:pPr>
              <w:pStyle w:val="Compact"/>
              <w:spacing w:after="40" w:line="288" w:lineRule="auto"/>
              <w:jc w:val="left"/>
            </w:pPr>
            <w:r>
              <w:rPr>
                <w:rFonts w:ascii="DejaVu Serif" w:hAnsi="DejaVu Serif" w:eastAsia="Noto Sans CJK SC"/>
                <w:color w:val="000000"/>
                <w:sz w:val="19"/>
              </w:rPr>
              <w:t xml:space="preserve">Work plans, task assignments, schedules, project arrangements, etc.</w:t>
            </w:r>
          </w:p>
        </w:tc>
      </w:tr>
    </w:tbl>
    <w:bookmarkEnd w:id="308"/>
    <w:bookmarkStart w:id="309" w:name="X1a5e9bc570c61200c46426014b771111c65e89e"/>
    <w:p>
      <w:pPr>
        <w:pStyle w:val="Heading3"/>
        <w:spacing w:after="120" w:line="312" w:lineRule="auto"/>
        <w:jc w:val="left"/>
      </w:pPr>
      <w:r>
        <w:rPr>
          <w:rFonts w:ascii="DejaVu Serif" w:hAnsi="DejaVu Serif" w:eastAsia="Noto Serif CJK SC"/>
          <w:color w:val="000000"/>
          <w:sz w:val="26"/>
        </w:rPr>
        <w:t xml:space="preserve">III. Appendix: Medical Insurance Related Document Archiving</w:t>
      </w:r>
    </w:p>
    <w:tbl>
      <w:tblPr>
        <w:tblStyle w:val="Table"/>
        <w:tblW w:type="pct" w:w="5000"/>
        <w:jc w:val="left"/>
        <w:tblLayout w:type="fixed"/>
        <w:tblLook w:firstRow="1" w:lastRow="0" w:firstColumn="0" w:lastColumn="0" w:noHBand="0" w:noVBand="0" w:val="002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3960"/>
        <w:gridCol w:w="3960"/>
      </w:tblGrid>
      <w:tr>
        <w:trPr>
          <w:tblHeader w:val="on"/>
        </w:trPr>
        <w:tc>
          <w:tcPr/>
          <w:p>
            <w:pPr>
              <w:pStyle w:val="Compact"/>
              <w:spacing w:after="40" w:line="288" w:lineRule="auto"/>
              <w:jc w:val="left"/>
            </w:pPr>
            <w:r>
              <w:rPr>
                <w:rFonts w:ascii="DejaVu Serif" w:hAnsi="DejaVu Serif" w:eastAsia="Noto Sans CJK SC"/>
                <w:color w:val="000000"/>
                <w:sz w:val="19"/>
              </w:rPr>
              <w:t xml:space="preserve">Attribute</w:t>
            </w:r>
          </w:p>
        </w:tc>
        <w:tc>
          <w:tcPr/>
          <w:p>
            <w:pPr>
              <w:pStyle w:val="Compact"/>
              <w:spacing w:after="40" w:line="288" w:lineRule="auto"/>
              <w:jc w:val="left"/>
            </w:pPr>
            <w:r>
              <w:rPr>
                <w:rFonts w:ascii="DejaVu Serif" w:hAnsi="DejaVu Serif" w:eastAsia="Noto Sans CJK SC"/>
                <w:color w:val="000000"/>
                <w:sz w:val="19"/>
              </w:rPr>
              <w:t xml:space="preserve">Content</w:t>
            </w:r>
          </w:p>
        </w:tc>
      </w:tr>
      <w:tr>
        <w:tc>
          <w:tcPr/>
          <w:p>
            <w:pPr>
              <w:pStyle w:val="Compact"/>
              <w:spacing w:after="40" w:line="288" w:lineRule="auto"/>
              <w:jc w:val="left"/>
            </w:pPr>
            <w:r>
              <w:rPr>
                <w:rFonts w:ascii="DejaVu Serif" w:hAnsi="DejaVu Serif" w:eastAsia="Noto Sans CJK SC"/>
                <w:b/>
                <w:bCs/>
                <w:color w:val="000000"/>
                <w:sz w:val="19"/>
              </w:rPr>
              <w:t xml:space="preserve">Positioning</w:t>
            </w:r>
          </w:p>
        </w:tc>
        <w:tc>
          <w:tcPr/>
          <w:p>
            <w:pPr>
              <w:pStyle w:val="Compact"/>
              <w:spacing w:after="40" w:line="288" w:lineRule="auto"/>
              <w:jc w:val="left"/>
            </w:pPr>
            <w:r>
              <w:rPr>
                <w:rFonts w:ascii="DejaVu Serif" w:hAnsi="DejaVu Serif" w:eastAsia="Noto Sans CJK SC"/>
                <w:color w:val="000000"/>
                <w:sz w:val="19"/>
              </w:rPr>
              <w:t xml:space="preserve">Medical security related vouchers and documents</w:t>
            </w:r>
          </w:p>
        </w:tc>
      </w:tr>
      <w:tr>
        <w:tc>
          <w:tcPr/>
          <w:p>
            <w:pPr>
              <w:pStyle w:val="Compact"/>
              <w:spacing w:after="40" w:line="288" w:lineRule="auto"/>
              <w:jc w:val="left"/>
            </w:pPr>
            <w:r>
              <w:rPr>
                <w:rFonts w:ascii="DejaVu Serif" w:hAnsi="DejaVu Serif" w:eastAsia="Noto Sans CJK SC"/>
                <w:b/>
                <w:bCs/>
                <w:color w:val="000000"/>
                <w:sz w:val="19"/>
              </w:rPr>
              <w:t xml:space="preserve">Scope of Content</w:t>
            </w:r>
          </w:p>
        </w:tc>
        <w:tc>
          <w:tcPr/>
          <w:p>
            <w:pPr>
              <w:pStyle w:val="Compact"/>
              <w:spacing w:after="40" w:line="288" w:lineRule="auto"/>
              <w:jc w:val="left"/>
            </w:pPr>
            <w:r>
              <w:rPr>
                <w:rFonts w:ascii="DejaVu Serif" w:hAnsi="DejaVu Serif" w:eastAsia="Noto Sans CJK SC"/>
                <w:color w:val="000000"/>
                <w:sz w:val="19"/>
              </w:rPr>
              <w:t xml:space="preserve">Medical insurance payment records, medical treatment vouchers, reimbursement forms, etc.</w:t>
            </w:r>
          </w:p>
        </w:tc>
      </w:tr>
    </w:tbl>
    <w:bookmarkEnd w:id="309"/>
    <w:bookmarkStart w:id="310" w:name="X6835b1de863dbd2df5cd55b8b35497e924b4225"/>
    <w:p>
      <w:pPr>
        <w:pStyle w:val="Heading3"/>
        <w:spacing w:after="120" w:line="312" w:lineRule="auto"/>
        <w:jc w:val="left"/>
      </w:pPr>
      <w:r>
        <w:rPr>
          <w:rFonts w:ascii="DejaVu Serif" w:hAnsi="DejaVu Serif" w:eastAsia="Noto Serif CJK SC"/>
          <w:color w:val="000000"/>
          <w:sz w:val="26"/>
        </w:rPr>
        <w:t xml:space="preserve">IV. Appendix: Filing of Storage Locker Locations in Various Places</w:t>
      </w:r>
    </w:p>
    <w:tbl>
      <w:tblPr>
        <w:tblStyle w:val="Table"/>
        <w:tblW w:type="pct" w:w="5000"/>
        <w:jc w:val="left"/>
        <w:tblLayout w:type="fixed"/>
        <w:tblLook w:firstRow="1" w:lastRow="0" w:firstColumn="0" w:lastColumn="0" w:noHBand="0" w:noVBand="0" w:val="002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3960"/>
        <w:gridCol w:w="3960"/>
      </w:tblGrid>
      <w:tr>
        <w:trPr>
          <w:tblHeader w:val="on"/>
        </w:trPr>
        <w:tc>
          <w:tcPr/>
          <w:p>
            <w:pPr>
              <w:pStyle w:val="Compact"/>
              <w:spacing w:after="40" w:line="288" w:lineRule="auto"/>
              <w:jc w:val="left"/>
            </w:pPr>
            <w:r>
              <w:rPr>
                <w:rFonts w:ascii="DejaVu Serif" w:hAnsi="DejaVu Serif" w:eastAsia="Noto Sans CJK SC"/>
                <w:color w:val="000000"/>
                <w:sz w:val="19"/>
              </w:rPr>
              <w:t xml:space="preserve">Attribute</w:t>
            </w:r>
          </w:p>
        </w:tc>
        <w:tc>
          <w:tcPr/>
          <w:p>
            <w:pPr>
              <w:pStyle w:val="Compact"/>
              <w:spacing w:after="40" w:line="288" w:lineRule="auto"/>
              <w:jc w:val="left"/>
            </w:pPr>
            <w:r>
              <w:rPr>
                <w:rFonts w:ascii="DejaVu Serif" w:hAnsi="DejaVu Serif" w:eastAsia="Noto Sans CJK SC"/>
                <w:color w:val="000000"/>
                <w:sz w:val="19"/>
              </w:rPr>
              <w:t xml:space="preserve">Content</w:t>
            </w:r>
          </w:p>
        </w:tc>
      </w:tr>
      <w:tr>
        <w:tc>
          <w:tcPr/>
          <w:p>
            <w:pPr>
              <w:pStyle w:val="Compact"/>
              <w:spacing w:after="40" w:line="288" w:lineRule="auto"/>
              <w:jc w:val="left"/>
            </w:pPr>
            <w:r>
              <w:rPr>
                <w:rFonts w:ascii="DejaVu Serif" w:hAnsi="DejaVu Serif" w:eastAsia="Noto Sans CJK SC"/>
                <w:b/>
                <w:bCs/>
                <w:color w:val="000000"/>
                <w:sz w:val="19"/>
              </w:rPr>
              <w:t xml:space="preserve">Positioning</w:t>
            </w:r>
          </w:p>
        </w:tc>
        <w:tc>
          <w:tcPr/>
          <w:p>
            <w:pPr>
              <w:pStyle w:val="Compact"/>
              <w:spacing w:after="40" w:line="288" w:lineRule="auto"/>
              <w:jc w:val="left"/>
            </w:pPr>
            <w:r>
              <w:rPr>
                <w:rFonts w:ascii="DejaVu Serif" w:hAnsi="DejaVu Serif" w:eastAsia="Noto Sans CJK SC"/>
                <w:color w:val="000000"/>
                <w:sz w:val="19"/>
              </w:rPr>
              <w:t xml:space="preserve">Physical storage locker location filing</w:t>
            </w:r>
          </w:p>
        </w:tc>
      </w:tr>
      <w:tr>
        <w:tc>
          <w:tcPr/>
          <w:p>
            <w:pPr>
              <w:pStyle w:val="Compact"/>
              <w:spacing w:after="40" w:line="288" w:lineRule="auto"/>
              <w:jc w:val="left"/>
            </w:pPr>
            <w:r>
              <w:rPr>
                <w:rFonts w:ascii="DejaVu Serif" w:hAnsi="DejaVu Serif" w:eastAsia="Noto Sans CJK SC"/>
                <w:b/>
                <w:bCs/>
                <w:color w:val="000000"/>
                <w:sz w:val="19"/>
              </w:rPr>
              <w:t xml:space="preserve">Scope of Content</w:t>
            </w:r>
          </w:p>
        </w:tc>
        <w:tc>
          <w:tcPr/>
          <w:p>
            <w:pPr>
              <w:pStyle w:val="Compact"/>
              <w:spacing w:after="40" w:line="288" w:lineRule="auto"/>
              <w:jc w:val="left"/>
            </w:pPr>
            <w:r>
              <w:rPr>
                <w:rFonts w:ascii="DejaVu Serif" w:hAnsi="DejaVu Serif" w:eastAsia="Noto Sans CJK SC"/>
                <w:color w:val="000000"/>
                <w:sz w:val="19"/>
              </w:rPr>
              <w:t xml:space="preserve">Storage rental contracts, location information, access records for various cities, etc.</w:t>
            </w:r>
          </w:p>
        </w:tc>
      </w:tr>
    </w:tbl>
    <w:bookmarkEnd w:id="310"/>
    <w:bookmarkStart w:id="311" w:name="X084d62176482a9e65a5c4741a508d6acae80f31"/>
    <w:p>
      <w:pPr>
        <w:pStyle w:val="Heading3"/>
        <w:spacing w:after="120" w:line="312" w:lineRule="auto"/>
        <w:jc w:val="left"/>
      </w:pPr>
      <w:r>
        <w:rPr>
          <w:rFonts w:ascii="DejaVu Serif" w:hAnsi="DejaVu Serif" w:eastAsia="Noto Serif CJK SC"/>
          <w:color w:val="000000"/>
          <w:sz w:val="26"/>
        </w:rPr>
        <w:t xml:space="preserve">V. Appendix: Archiving of Railway Electronic Ticket Invoices</w:t>
      </w:r>
    </w:p>
    <w:tbl>
      <w:tblPr>
        <w:tblStyle w:val="Table"/>
        <w:tblW w:type="pct" w:w="5000"/>
        <w:jc w:val="left"/>
        <w:tblLayout w:type="fixed"/>
        <w:tblLook w:firstRow="1" w:lastRow="0" w:firstColumn="0" w:lastColumn="0" w:noHBand="0" w:noVBand="0" w:val="002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3960"/>
        <w:gridCol w:w="3960"/>
      </w:tblGrid>
      <w:tr>
        <w:trPr>
          <w:tblHeader w:val="on"/>
        </w:trPr>
        <w:tc>
          <w:tcPr/>
          <w:p>
            <w:pPr>
              <w:pStyle w:val="Compact"/>
              <w:spacing w:after="40" w:line="288" w:lineRule="auto"/>
              <w:jc w:val="left"/>
            </w:pPr>
            <w:r>
              <w:rPr>
                <w:rFonts w:ascii="DejaVu Serif" w:hAnsi="DejaVu Serif" w:eastAsia="Noto Sans CJK SC"/>
                <w:color w:val="000000"/>
                <w:sz w:val="19"/>
              </w:rPr>
              <w:t xml:space="preserve">Attribute</w:t>
            </w:r>
          </w:p>
        </w:tc>
        <w:tc>
          <w:tcPr/>
          <w:p>
            <w:pPr>
              <w:pStyle w:val="Compact"/>
              <w:spacing w:after="40" w:line="288" w:lineRule="auto"/>
              <w:jc w:val="left"/>
            </w:pPr>
            <w:r>
              <w:rPr>
                <w:rFonts w:ascii="DejaVu Serif" w:hAnsi="DejaVu Serif" w:eastAsia="Noto Sans CJK SC"/>
                <w:color w:val="000000"/>
                <w:sz w:val="19"/>
              </w:rPr>
              <w:t xml:space="preserve">Content</w:t>
            </w:r>
          </w:p>
        </w:tc>
      </w:tr>
      <w:tr>
        <w:tc>
          <w:tcPr/>
          <w:p>
            <w:pPr>
              <w:pStyle w:val="Compact"/>
              <w:spacing w:after="40" w:line="288" w:lineRule="auto"/>
              <w:jc w:val="left"/>
            </w:pPr>
            <w:r>
              <w:rPr>
                <w:rFonts w:ascii="DejaVu Serif" w:hAnsi="DejaVu Serif" w:eastAsia="Noto Sans CJK SC"/>
                <w:b/>
                <w:bCs/>
                <w:color w:val="000000"/>
                <w:sz w:val="19"/>
              </w:rPr>
              <w:t xml:space="preserve">Positioning</w:t>
            </w:r>
          </w:p>
        </w:tc>
        <w:tc>
          <w:tcPr/>
          <w:p>
            <w:pPr>
              <w:pStyle w:val="Compact"/>
              <w:spacing w:after="40" w:line="288" w:lineRule="auto"/>
              <w:jc w:val="left"/>
            </w:pPr>
            <w:r>
              <w:rPr>
                <w:rFonts w:ascii="DejaVu Serif" w:hAnsi="DejaVu Serif" w:eastAsia="Noto Sans CJK SC"/>
                <w:color w:val="000000"/>
                <w:sz w:val="19"/>
              </w:rPr>
              <w:t xml:space="preserve">Transportation voucher archiving</w:t>
            </w:r>
          </w:p>
        </w:tc>
      </w:tr>
      <w:tr>
        <w:tc>
          <w:tcPr/>
          <w:p>
            <w:pPr>
              <w:pStyle w:val="Compact"/>
              <w:spacing w:after="40" w:line="288" w:lineRule="auto"/>
              <w:jc w:val="left"/>
            </w:pPr>
            <w:r>
              <w:rPr>
                <w:rFonts w:ascii="DejaVu Serif" w:hAnsi="DejaVu Serif" w:eastAsia="Noto Sans CJK SC"/>
                <w:b/>
                <w:bCs/>
                <w:color w:val="000000"/>
                <w:sz w:val="19"/>
              </w:rPr>
              <w:t xml:space="preserve">Scope of Content</w:t>
            </w:r>
          </w:p>
        </w:tc>
        <w:tc>
          <w:tcPr/>
          <w:p>
            <w:pPr>
              <w:pStyle w:val="Compact"/>
              <w:spacing w:after="40" w:line="288" w:lineRule="auto"/>
              <w:jc w:val="left"/>
            </w:pPr>
            <w:r>
              <w:rPr>
                <w:rFonts w:ascii="DejaVu Serif" w:hAnsi="DejaVu Serif" w:eastAsia="Noto Sans CJK SC"/>
                <w:color w:val="000000"/>
                <w:sz w:val="19"/>
              </w:rPr>
              <w:t xml:space="preserve">Railway electronic tickets, invoices, itineraries and other financial vouchers</w:t>
            </w:r>
          </w:p>
        </w:tc>
      </w:tr>
    </w:tbl>
    <w:bookmarkEnd w:id="311"/>
    <w:bookmarkStart w:id="312" w:name="X0809c2f216568af156271f9876e160b9594d51a"/>
    <w:p>
      <w:pPr>
        <w:pStyle w:val="Heading3"/>
        <w:spacing w:after="120" w:line="312" w:lineRule="auto"/>
        <w:jc w:val="left"/>
      </w:pPr>
      <w:r>
        <w:rPr>
          <w:rFonts w:ascii="DejaVu Serif" w:hAnsi="DejaVu Serif" w:eastAsia="Noto Serif CJK SC"/>
          <w:color w:val="000000"/>
          <w:sz w:val="26"/>
        </w:rPr>
        <w:t xml:space="preserve">VI. Appendix: Filing of Events with Specific Significance</w:t>
      </w:r>
    </w:p>
    <w:tbl>
      <w:tblPr>
        <w:tblStyle w:val="Table"/>
        <w:tblW w:type="pct" w:w="5000"/>
        <w:jc w:val="left"/>
        <w:tblLayout w:type="fixed"/>
        <w:tblLook w:firstRow="1" w:lastRow="0" w:firstColumn="0" w:lastColumn="0" w:noHBand="0" w:noVBand="0" w:val="002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3960"/>
        <w:gridCol w:w="3960"/>
      </w:tblGrid>
      <w:tr>
        <w:trPr>
          <w:tblHeader w:val="on"/>
        </w:trPr>
        <w:tc>
          <w:tcPr/>
          <w:p>
            <w:pPr>
              <w:pStyle w:val="Compact"/>
              <w:spacing w:after="40" w:line="288" w:lineRule="auto"/>
              <w:jc w:val="left"/>
            </w:pPr>
            <w:r>
              <w:rPr>
                <w:rFonts w:ascii="DejaVu Serif" w:hAnsi="DejaVu Serif" w:eastAsia="Noto Sans CJK SC"/>
                <w:color w:val="000000"/>
                <w:sz w:val="19"/>
              </w:rPr>
              <w:t xml:space="preserve">Attribute</w:t>
            </w:r>
          </w:p>
        </w:tc>
        <w:tc>
          <w:tcPr/>
          <w:p>
            <w:pPr>
              <w:pStyle w:val="Compact"/>
              <w:spacing w:after="40" w:line="288" w:lineRule="auto"/>
              <w:jc w:val="left"/>
            </w:pPr>
            <w:r>
              <w:rPr>
                <w:rFonts w:ascii="DejaVu Serif" w:hAnsi="DejaVu Serif" w:eastAsia="Noto Sans CJK SC"/>
                <w:color w:val="000000"/>
                <w:sz w:val="19"/>
              </w:rPr>
              <w:t xml:space="preserve">Content</w:t>
            </w:r>
          </w:p>
        </w:tc>
      </w:tr>
      <w:tr>
        <w:tc>
          <w:tcPr/>
          <w:p>
            <w:pPr>
              <w:pStyle w:val="Compact"/>
              <w:spacing w:after="40" w:line="288" w:lineRule="auto"/>
              <w:jc w:val="left"/>
            </w:pPr>
            <w:r>
              <w:rPr>
                <w:rFonts w:ascii="DejaVu Serif" w:hAnsi="DejaVu Serif" w:eastAsia="Noto Sans CJK SC"/>
                <w:b/>
                <w:bCs/>
                <w:color w:val="000000"/>
                <w:sz w:val="19"/>
              </w:rPr>
              <w:t xml:space="preserve">Positioning</w:t>
            </w:r>
          </w:p>
        </w:tc>
        <w:tc>
          <w:tcPr/>
          <w:p>
            <w:pPr>
              <w:pStyle w:val="Compact"/>
              <w:spacing w:after="40" w:line="288" w:lineRule="auto"/>
              <w:jc w:val="left"/>
            </w:pPr>
            <w:r>
              <w:rPr>
                <w:rFonts w:ascii="DejaVu Serif" w:hAnsi="DejaVu Serif" w:eastAsia="Noto Sans CJK SC"/>
                <w:color w:val="000000"/>
                <w:sz w:val="19"/>
              </w:rPr>
              <w:t xml:space="preserve">Official records of special events</w:t>
            </w:r>
          </w:p>
        </w:tc>
      </w:tr>
      <w:tr>
        <w:tc>
          <w:tcPr/>
          <w:p>
            <w:pPr>
              <w:pStyle w:val="Compact"/>
              <w:spacing w:after="40" w:line="288" w:lineRule="auto"/>
              <w:jc w:val="left"/>
            </w:pPr>
            <w:r>
              <w:rPr>
                <w:rFonts w:ascii="DejaVu Serif" w:hAnsi="DejaVu Serif" w:eastAsia="Noto Sans CJK SC"/>
                <w:b/>
                <w:bCs/>
                <w:color w:val="000000"/>
                <w:sz w:val="19"/>
              </w:rPr>
              <w:t xml:space="preserve">Scope of Content</w:t>
            </w:r>
          </w:p>
        </w:tc>
        <w:tc>
          <w:tcPr/>
          <w:p>
            <w:pPr>
              <w:pStyle w:val="Compact"/>
              <w:spacing w:after="40" w:line="288" w:lineRule="auto"/>
              <w:jc w:val="left"/>
            </w:pPr>
            <w:r>
              <w:rPr>
                <w:rFonts w:ascii="DejaVu Serif" w:hAnsi="DejaVu Serif" w:eastAsia="Noto Sans CJK SC"/>
                <w:color w:val="000000"/>
                <w:sz w:val="19"/>
              </w:rPr>
              <w:t xml:space="preserve">Written records of events with specific legal or life significance</w:t>
            </w:r>
          </w:p>
        </w:tc>
      </w:tr>
    </w:tbl>
    <w:bookmarkEnd w:id="312"/>
    <w:bookmarkStart w:id="313" w:name="Xa53adb5d0afa6a132515145193cf28a92945517"/>
    <w:p>
      <w:pPr>
        <w:pStyle w:val="Heading3"/>
        <w:spacing w:after="120" w:line="312" w:lineRule="auto"/>
        <w:jc w:val="left"/>
      </w:pPr>
      <w:r>
        <w:rPr>
          <w:rFonts w:ascii="DejaVu Serif" w:hAnsi="DejaVu Serif" w:eastAsia="Noto Serif CJK SC"/>
          <w:color w:val="000000"/>
          <w:sz w:val="26"/>
        </w:rPr>
        <w:t xml:space="preserve">VII. Appendix: Filing of Reflections and Thoughts (Transcribed from Oral Recordings)</w:t>
      </w:r>
    </w:p>
    <w:tbl>
      <w:tblPr>
        <w:tblStyle w:val="Table"/>
        <w:tblW w:type="pct" w:w="5000"/>
        <w:jc w:val="left"/>
        <w:tblLayout w:type="fixed"/>
        <w:tblLook w:firstRow="1" w:lastRow="0" w:firstColumn="0" w:lastColumn="0" w:noHBand="0" w:noVBand="0" w:val="002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3960"/>
        <w:gridCol w:w="3960"/>
      </w:tblGrid>
      <w:tr>
        <w:trPr>
          <w:tblHeader w:val="on"/>
        </w:trPr>
        <w:tc>
          <w:tcPr/>
          <w:p>
            <w:pPr>
              <w:pStyle w:val="Compact"/>
              <w:spacing w:after="40" w:line="288" w:lineRule="auto"/>
              <w:jc w:val="left"/>
            </w:pPr>
            <w:r>
              <w:rPr>
                <w:rFonts w:ascii="DejaVu Serif" w:hAnsi="DejaVu Serif" w:eastAsia="Noto Sans CJK SC"/>
                <w:color w:val="000000"/>
                <w:sz w:val="19"/>
              </w:rPr>
              <w:t xml:space="preserve">Attribute</w:t>
            </w:r>
          </w:p>
        </w:tc>
        <w:tc>
          <w:tcPr/>
          <w:p>
            <w:pPr>
              <w:pStyle w:val="Compact"/>
              <w:spacing w:after="40" w:line="288" w:lineRule="auto"/>
              <w:jc w:val="left"/>
            </w:pPr>
            <w:r>
              <w:rPr>
                <w:rFonts w:ascii="DejaVu Serif" w:hAnsi="DejaVu Serif" w:eastAsia="Noto Sans CJK SC"/>
                <w:color w:val="000000"/>
                <w:sz w:val="19"/>
              </w:rPr>
              <w:t xml:space="preserve">Content</w:t>
            </w:r>
          </w:p>
        </w:tc>
      </w:tr>
      <w:tr>
        <w:tc>
          <w:tcPr/>
          <w:p>
            <w:pPr>
              <w:pStyle w:val="Compact"/>
              <w:spacing w:after="40" w:line="288" w:lineRule="auto"/>
              <w:jc w:val="left"/>
            </w:pPr>
            <w:r>
              <w:rPr>
                <w:rFonts w:ascii="DejaVu Serif" w:hAnsi="DejaVu Serif" w:eastAsia="Noto Sans CJK SC"/>
                <w:b/>
                <w:bCs/>
                <w:color w:val="000000"/>
                <w:sz w:val="19"/>
              </w:rPr>
              <w:t xml:space="preserve">Positioning</w:t>
            </w:r>
          </w:p>
        </w:tc>
        <w:tc>
          <w:tcPr/>
          <w:p>
            <w:pPr>
              <w:pStyle w:val="Compact"/>
              <w:spacing w:after="40" w:line="288" w:lineRule="auto"/>
              <w:jc w:val="left"/>
            </w:pPr>
            <w:r>
              <w:rPr>
                <w:rFonts w:ascii="DejaVu Serif" w:hAnsi="DejaVu Serif" w:eastAsia="Noto Sans CJK SC"/>
                <w:color w:val="000000"/>
                <w:sz w:val="19"/>
              </w:rPr>
              <w:t xml:space="preserve">Transcribed text from oral recordings of personal reflections and thoughts</w:t>
            </w:r>
          </w:p>
        </w:tc>
      </w:tr>
      <w:tr>
        <w:tc>
          <w:tcPr/>
          <w:p>
            <w:pPr>
              <w:pStyle w:val="Compact"/>
              <w:spacing w:after="40" w:line="288" w:lineRule="auto"/>
              <w:jc w:val="left"/>
            </w:pPr>
            <w:r>
              <w:rPr>
                <w:rFonts w:ascii="DejaVu Serif" w:hAnsi="DejaVu Serif" w:eastAsia="Noto Sans CJK SC"/>
                <w:b/>
                <w:bCs/>
                <w:color w:val="000000"/>
                <w:sz w:val="19"/>
              </w:rPr>
              <w:t xml:space="preserve">Scope of Content</w:t>
            </w:r>
          </w:p>
        </w:tc>
        <w:tc>
          <w:tcPr/>
          <w:p>
            <w:pPr>
              <w:pStyle w:val="Compact"/>
              <w:spacing w:after="40" w:line="288" w:lineRule="auto"/>
              <w:jc w:val="left"/>
            </w:pPr>
            <w:r>
              <w:rPr>
                <w:rFonts w:ascii="DejaVu Serif" w:hAnsi="DejaVu Serif" w:eastAsia="Noto Sans CJK SC"/>
                <w:color w:val="000000"/>
                <w:sz w:val="19"/>
              </w:rPr>
              <w:t xml:space="preserve">Text整理版 of personal oral reflections and in-depth thinking recordings</w:t>
            </w:r>
          </w:p>
        </w:tc>
      </w:tr>
    </w:tbl>
    <w:bookmarkEnd w:id="313"/>
    <w:bookmarkStart w:id="314" w:name="X81e92df5de09e3f5d41964b3a636b0c4d875a25"/>
    <w:p>
      <w:pPr>
        <w:pStyle w:val="Heading3"/>
        <w:spacing w:after="120" w:line="312" w:lineRule="auto"/>
        <w:jc w:val="left"/>
      </w:pPr>
      <w:r>
        <w:rPr>
          <w:rFonts w:ascii="DejaVu Serif" w:hAnsi="DejaVu Serif" w:eastAsia="Noto Serif CJK SC"/>
          <w:color w:val="000000"/>
          <w:sz w:val="26"/>
        </w:rPr>
        <w:t xml:space="preserve">VIII. Appendix: Life Governance Decision-Making · Social Division of Labor Level Reference Index</w:t>
      </w:r>
    </w:p>
    <w:tbl>
      <w:tblPr>
        <w:tblStyle w:val="Table"/>
        <w:tblW w:type="pct" w:w="5000"/>
        <w:jc w:val="left"/>
        <w:tblLayout w:type="fixed"/>
        <w:tblLook w:firstRow="1" w:lastRow="0" w:firstColumn="0" w:lastColumn="0" w:noHBand="0" w:noVBand="0" w:val="002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3960"/>
        <w:gridCol w:w="3960"/>
      </w:tblGrid>
      <w:tr>
        <w:trPr>
          <w:tblHeader w:val="on"/>
        </w:trPr>
        <w:tc>
          <w:tcPr/>
          <w:p>
            <w:pPr>
              <w:pStyle w:val="Compact"/>
              <w:spacing w:after="40" w:line="288" w:lineRule="auto"/>
              <w:jc w:val="left"/>
            </w:pPr>
            <w:r>
              <w:rPr>
                <w:rFonts w:ascii="DejaVu Serif" w:hAnsi="DejaVu Serif" w:eastAsia="Noto Sans CJK SC"/>
                <w:color w:val="000000"/>
                <w:sz w:val="19"/>
              </w:rPr>
              <w:t xml:space="preserve">Attribute</w:t>
            </w:r>
          </w:p>
        </w:tc>
        <w:tc>
          <w:tcPr/>
          <w:p>
            <w:pPr>
              <w:pStyle w:val="Compact"/>
              <w:spacing w:after="40" w:line="288" w:lineRule="auto"/>
              <w:jc w:val="left"/>
            </w:pPr>
            <w:r>
              <w:rPr>
                <w:rFonts w:ascii="DejaVu Serif" w:hAnsi="DejaVu Serif" w:eastAsia="Noto Sans CJK SC"/>
                <w:color w:val="000000"/>
                <w:sz w:val="19"/>
              </w:rPr>
              <w:t xml:space="preserve">Content</w:t>
            </w:r>
          </w:p>
        </w:tc>
      </w:tr>
      <w:tr>
        <w:tc>
          <w:tcPr/>
          <w:p>
            <w:pPr>
              <w:pStyle w:val="Compact"/>
              <w:spacing w:after="40" w:line="288" w:lineRule="auto"/>
              <w:jc w:val="left"/>
            </w:pPr>
            <w:r>
              <w:rPr>
                <w:rFonts w:ascii="DejaVu Serif" w:hAnsi="DejaVu Serif" w:eastAsia="Noto Sans CJK SC"/>
                <w:b/>
                <w:bCs/>
                <w:color w:val="000000"/>
                <w:sz w:val="19"/>
              </w:rPr>
              <w:t xml:space="preserve">Positioning</w:t>
            </w:r>
          </w:p>
        </w:tc>
        <w:tc>
          <w:tcPr/>
          <w:p>
            <w:pPr>
              <w:pStyle w:val="Compact"/>
              <w:spacing w:after="40" w:line="288" w:lineRule="auto"/>
              <w:jc w:val="left"/>
            </w:pPr>
            <w:r>
              <w:rPr>
                <w:rFonts w:ascii="DejaVu Serif" w:hAnsi="DejaVu Serif" w:eastAsia="Noto Sans CJK SC"/>
                <w:color w:val="000000"/>
                <w:sz w:val="19"/>
              </w:rPr>
              <w:t xml:space="preserve">Decision-making index and social division of labor reference</w:t>
            </w:r>
          </w:p>
        </w:tc>
      </w:tr>
      <w:tr>
        <w:tc>
          <w:tcPr/>
          <w:p>
            <w:pPr>
              <w:pStyle w:val="Compact"/>
              <w:spacing w:after="40" w:line="288" w:lineRule="auto"/>
              <w:jc w:val="left"/>
            </w:pPr>
            <w:r>
              <w:rPr>
                <w:rFonts w:ascii="DejaVu Serif" w:hAnsi="DejaVu Serif" w:eastAsia="Noto Sans CJK SC"/>
                <w:b/>
                <w:bCs/>
                <w:color w:val="000000"/>
                <w:sz w:val="19"/>
              </w:rPr>
              <w:t xml:space="preserve">Scope of Content</w:t>
            </w:r>
          </w:p>
        </w:tc>
        <w:tc>
          <w:tcPr/>
          <w:p>
            <w:pPr>
              <w:pStyle w:val="Compact"/>
              <w:spacing w:after="40" w:line="288" w:lineRule="auto"/>
              <w:jc w:val="left"/>
            </w:pPr>
            <w:r>
              <w:rPr>
                <w:rFonts w:ascii="DejaVu Serif" w:hAnsi="DejaVu Serif" w:eastAsia="Noto Sans CJK SC"/>
                <w:color w:val="000000"/>
                <w:sz w:val="19"/>
              </w:rPr>
              <w:t xml:space="preserve">Life governance decision-making index table,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Five-Tier Pyramid of Social Division of Labor</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reference index, etc.</w:t>
            </w:r>
          </w:p>
        </w:tc>
      </w:tr>
    </w:tbl>
    <w:bookmarkEnd w:id="314"/>
    <w:bookmarkStart w:id="315" w:name="X53dbd9a7793e885f791bdd0401ba2eca363685c"/>
    <w:p>
      <w:pPr>
        <w:pStyle w:val="Heading3"/>
        <w:spacing w:after="120" w:line="312" w:lineRule="auto"/>
        <w:jc w:val="left"/>
      </w:pPr>
      <w:r>
        <w:rPr>
          <w:rFonts w:ascii="DejaVu Serif" w:hAnsi="DejaVu Serif" w:eastAsia="Noto Serif CJK SC"/>
          <w:color w:val="000000"/>
          <w:sz w:val="26"/>
        </w:rPr>
        <w:t xml:space="preserve">IX. Appendix: Third Party Formal Documents (including transcribed and format-converted documents) Filing</w:t>
      </w:r>
    </w:p>
    <w:tbl>
      <w:tblPr>
        <w:tblStyle w:val="Table"/>
        <w:tblW w:type="pct" w:w="5000"/>
        <w:jc w:val="left"/>
        <w:tblLayout w:type="fixed"/>
        <w:tblLook w:firstRow="1" w:lastRow="0" w:firstColumn="0" w:lastColumn="0" w:noHBand="0" w:noVBand="0" w:val="002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3960"/>
        <w:gridCol w:w="3960"/>
      </w:tblGrid>
      <w:tr>
        <w:trPr>
          <w:tblHeader w:val="on"/>
        </w:trPr>
        <w:tc>
          <w:tcPr/>
          <w:p>
            <w:pPr>
              <w:pStyle w:val="Compact"/>
              <w:spacing w:after="40" w:line="288" w:lineRule="auto"/>
              <w:jc w:val="left"/>
            </w:pPr>
            <w:r>
              <w:rPr>
                <w:rFonts w:ascii="DejaVu Serif" w:hAnsi="DejaVu Serif" w:eastAsia="Noto Sans CJK SC"/>
                <w:color w:val="000000"/>
                <w:sz w:val="19"/>
              </w:rPr>
              <w:t xml:space="preserve">Attribute</w:t>
            </w:r>
          </w:p>
        </w:tc>
        <w:tc>
          <w:tcPr/>
          <w:p>
            <w:pPr>
              <w:pStyle w:val="Compact"/>
              <w:spacing w:after="40" w:line="288" w:lineRule="auto"/>
              <w:jc w:val="left"/>
            </w:pPr>
            <w:r>
              <w:rPr>
                <w:rFonts w:ascii="DejaVu Serif" w:hAnsi="DejaVu Serif" w:eastAsia="Noto Sans CJK SC"/>
                <w:color w:val="000000"/>
                <w:sz w:val="19"/>
              </w:rPr>
              <w:t xml:space="preserve">Content</w:t>
            </w:r>
          </w:p>
        </w:tc>
      </w:tr>
      <w:tr>
        <w:tc>
          <w:tcPr/>
          <w:p>
            <w:pPr>
              <w:pStyle w:val="Compact"/>
              <w:spacing w:after="40" w:line="288" w:lineRule="auto"/>
              <w:jc w:val="left"/>
            </w:pPr>
            <w:r>
              <w:rPr>
                <w:rFonts w:ascii="DejaVu Serif" w:hAnsi="DejaVu Serif" w:eastAsia="Noto Sans CJK SC"/>
                <w:b/>
                <w:bCs/>
                <w:color w:val="000000"/>
                <w:sz w:val="19"/>
              </w:rPr>
              <w:t xml:space="preserve">Positioning</w:t>
            </w:r>
          </w:p>
        </w:tc>
        <w:tc>
          <w:tcPr/>
          <w:p>
            <w:pPr>
              <w:pStyle w:val="Compact"/>
              <w:spacing w:after="40" w:line="288" w:lineRule="auto"/>
              <w:jc w:val="left"/>
            </w:pPr>
            <w:r>
              <w:rPr>
                <w:rFonts w:ascii="DejaVu Serif" w:hAnsi="DejaVu Serif" w:eastAsia="Noto Sans CJK SC"/>
                <w:color w:val="000000"/>
                <w:sz w:val="19"/>
              </w:rPr>
              <w:t xml:space="preserve">Formal documents issued by third-party institutions</w:t>
            </w:r>
          </w:p>
        </w:tc>
      </w:tr>
      <w:tr>
        <w:tc>
          <w:tcPr/>
          <w:p>
            <w:pPr>
              <w:pStyle w:val="Compact"/>
              <w:spacing w:after="40" w:line="288" w:lineRule="auto"/>
              <w:jc w:val="left"/>
            </w:pPr>
            <w:r>
              <w:rPr>
                <w:rFonts w:ascii="DejaVu Serif" w:hAnsi="DejaVu Serif" w:eastAsia="Noto Sans CJK SC"/>
                <w:b/>
                <w:bCs/>
                <w:color w:val="000000"/>
                <w:sz w:val="19"/>
              </w:rPr>
              <w:t xml:space="preserve">Scope of Content</w:t>
            </w:r>
          </w:p>
        </w:tc>
        <w:tc>
          <w:tcPr/>
          <w:p>
            <w:pPr>
              <w:pStyle w:val="Compact"/>
              <w:spacing w:after="40" w:line="288" w:lineRule="auto"/>
              <w:jc w:val="left"/>
            </w:pPr>
            <w:r>
              <w:rPr>
                <w:rFonts w:ascii="DejaVu Serif" w:hAnsi="DejaVu Serif" w:eastAsia="Noto Sans CJK SC"/>
                <w:color w:val="000000"/>
                <w:sz w:val="19"/>
              </w:rPr>
              <w:t xml:space="preserve">Documents issued by third parties such as government/bank/law firm and their format-converted versions</w:t>
            </w:r>
          </w:p>
        </w:tc>
      </w:tr>
    </w:tbl>
    <w:bookmarkEnd w:id="315"/>
    <w:bookmarkStart w:id="316" w:name="X6f7c4de7a70ad9120035394c017b9c4b0ae428f"/>
    <w:p>
      <w:pPr>
        <w:pStyle w:val="Heading3"/>
        <w:spacing w:after="120" w:line="312" w:lineRule="auto"/>
        <w:jc w:val="left"/>
      </w:pPr>
      <w:r>
        <w:rPr>
          <w:rFonts w:ascii="DejaVu Serif" w:hAnsi="DejaVu Serif" w:eastAsia="Noto Serif CJK SC"/>
          <w:color w:val="000000"/>
          <w:sz w:val="26"/>
        </w:rPr>
        <w:t xml:space="preserve">X. Appendix: Self-Party Formal Documents (including transcribed and format-converted documents) Filing</w:t>
      </w:r>
    </w:p>
    <w:tbl>
      <w:tblPr>
        <w:tblStyle w:val="Table"/>
        <w:tblW w:type="pct" w:w="5000"/>
        <w:jc w:val="left"/>
        <w:tblLayout w:type="fixed"/>
        <w:tblLook w:firstRow="1" w:lastRow="0" w:firstColumn="0" w:lastColumn="0" w:noHBand="0" w:noVBand="0" w:val="002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3960"/>
        <w:gridCol w:w="3960"/>
      </w:tblGrid>
      <w:tr>
        <w:trPr>
          <w:tblHeader w:val="on"/>
        </w:trPr>
        <w:tc>
          <w:tcPr/>
          <w:p>
            <w:pPr>
              <w:pStyle w:val="Compact"/>
              <w:spacing w:after="40" w:line="288" w:lineRule="auto"/>
              <w:jc w:val="left"/>
            </w:pPr>
            <w:r>
              <w:rPr>
                <w:rFonts w:ascii="DejaVu Serif" w:hAnsi="DejaVu Serif" w:eastAsia="Noto Sans CJK SC"/>
                <w:color w:val="000000"/>
                <w:sz w:val="19"/>
              </w:rPr>
              <w:t xml:space="preserve">Attribute</w:t>
            </w:r>
          </w:p>
        </w:tc>
        <w:tc>
          <w:tcPr/>
          <w:p>
            <w:pPr>
              <w:pStyle w:val="Compact"/>
              <w:spacing w:after="40" w:line="288" w:lineRule="auto"/>
              <w:jc w:val="left"/>
            </w:pPr>
            <w:r>
              <w:rPr>
                <w:rFonts w:ascii="DejaVu Serif" w:hAnsi="DejaVu Serif" w:eastAsia="Noto Sans CJK SC"/>
                <w:color w:val="000000"/>
                <w:sz w:val="19"/>
              </w:rPr>
              <w:t xml:space="preserve">Content</w:t>
            </w:r>
          </w:p>
        </w:tc>
      </w:tr>
      <w:tr>
        <w:tc>
          <w:tcPr/>
          <w:p>
            <w:pPr>
              <w:pStyle w:val="Compact"/>
              <w:spacing w:after="40" w:line="288" w:lineRule="auto"/>
              <w:jc w:val="left"/>
            </w:pPr>
            <w:r>
              <w:rPr>
                <w:rFonts w:ascii="DejaVu Serif" w:hAnsi="DejaVu Serif" w:eastAsia="Noto Sans CJK SC"/>
                <w:b/>
                <w:bCs/>
                <w:color w:val="000000"/>
                <w:sz w:val="19"/>
              </w:rPr>
              <w:t xml:space="preserve">Positioning</w:t>
            </w:r>
          </w:p>
        </w:tc>
        <w:tc>
          <w:tcPr/>
          <w:p>
            <w:pPr>
              <w:pStyle w:val="Compact"/>
              <w:spacing w:after="40" w:line="288" w:lineRule="auto"/>
              <w:jc w:val="left"/>
            </w:pPr>
            <w:r>
              <w:rPr>
                <w:rFonts w:ascii="DejaVu Serif" w:hAnsi="DejaVu Serif" w:eastAsia="Noto Sans CJK SC"/>
                <w:color w:val="000000"/>
                <w:sz w:val="19"/>
              </w:rPr>
              <w:t xml:space="preserve">Formal documents issued by the self-party</w:t>
            </w:r>
          </w:p>
        </w:tc>
      </w:tr>
      <w:tr>
        <w:tc>
          <w:tcPr/>
          <w:p>
            <w:pPr>
              <w:pStyle w:val="Compact"/>
              <w:spacing w:after="40" w:line="288" w:lineRule="auto"/>
              <w:jc w:val="left"/>
            </w:pPr>
            <w:r>
              <w:rPr>
                <w:rFonts w:ascii="DejaVu Serif" w:hAnsi="DejaVu Serif" w:eastAsia="Noto Sans CJK SC"/>
                <w:b/>
                <w:bCs/>
                <w:color w:val="000000"/>
                <w:sz w:val="19"/>
              </w:rPr>
              <w:t xml:space="preserve">Scope of Content</w:t>
            </w:r>
          </w:p>
        </w:tc>
        <w:tc>
          <w:tcPr/>
          <w:p>
            <w:pPr>
              <w:pStyle w:val="Compact"/>
              <w:spacing w:after="40" w:line="288" w:lineRule="auto"/>
              <w:jc w:val="left"/>
            </w:pPr>
            <w:r>
              <w:rPr>
                <w:rFonts w:ascii="DejaVu Serif" w:hAnsi="DejaVu Serif" w:eastAsia="Noto Sans CJK SC"/>
                <w:color w:val="000000"/>
                <w:sz w:val="19"/>
              </w:rPr>
              <w:t xml:space="preserve">Legal documents, statements, letters issued by individuals/companies and their format-converted versions</w:t>
            </w:r>
          </w:p>
        </w:tc>
      </w:tr>
    </w:tbl>
    <w:bookmarkEnd w:id="316"/>
    <w:bookmarkStart w:id="317" w:name="X30a24e4eb7ca62b4bfe7e354029691742ed028e"/>
    <w:p>
      <w:pPr>
        <w:pStyle w:val="Heading3"/>
        <w:spacing w:after="120" w:line="312" w:lineRule="auto"/>
        <w:jc w:val="left"/>
      </w:pPr>
      <w:r>
        <w:rPr>
          <w:rFonts w:ascii="DejaVu Serif" w:hAnsi="DejaVu Serif" w:eastAsia="Noto Serif CJK SC"/>
          <w:color w:val="000000"/>
          <w:sz w:val="26"/>
        </w:rPr>
        <w:t xml:space="preserve">Eleven, Annex: Content of Call Records to be Filed (Transcribed from Oral Recordings) Filing</w:t>
      </w:r>
    </w:p>
    <w:tbl>
      <w:tblPr>
        <w:tblStyle w:val="Table"/>
        <w:tblW w:type="pct" w:w="5000"/>
        <w:jc w:val="left"/>
        <w:tblLayout w:type="fixed"/>
        <w:tblLook w:firstRow="1" w:lastRow="0" w:firstColumn="0" w:lastColumn="0" w:noHBand="0" w:noVBand="0" w:val="002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3960"/>
        <w:gridCol w:w="3960"/>
      </w:tblGrid>
      <w:tr>
        <w:trPr>
          <w:tblHeader w:val="on"/>
        </w:trPr>
        <w:tc>
          <w:tcPr/>
          <w:p>
            <w:pPr>
              <w:pStyle w:val="Compact"/>
              <w:spacing w:after="40" w:line="288" w:lineRule="auto"/>
              <w:jc w:val="left"/>
            </w:pPr>
            <w:r>
              <w:rPr>
                <w:rFonts w:ascii="DejaVu Serif" w:hAnsi="DejaVu Serif" w:eastAsia="Noto Sans CJK SC"/>
                <w:color w:val="000000"/>
                <w:sz w:val="19"/>
              </w:rPr>
              <w:t xml:space="preserve">Attribute</w:t>
            </w:r>
          </w:p>
        </w:tc>
        <w:tc>
          <w:tcPr/>
          <w:p>
            <w:pPr>
              <w:pStyle w:val="Compact"/>
              <w:spacing w:after="40" w:line="288" w:lineRule="auto"/>
              <w:jc w:val="left"/>
            </w:pPr>
            <w:r>
              <w:rPr>
                <w:rFonts w:ascii="DejaVu Serif" w:hAnsi="DejaVu Serif" w:eastAsia="Noto Sans CJK SC"/>
                <w:color w:val="000000"/>
                <w:sz w:val="19"/>
              </w:rPr>
              <w:t xml:space="preserve">Content</w:t>
            </w:r>
          </w:p>
        </w:tc>
      </w:tr>
      <w:tr>
        <w:tc>
          <w:tcPr/>
          <w:p>
            <w:pPr>
              <w:pStyle w:val="Compact"/>
              <w:spacing w:after="40" w:line="288" w:lineRule="auto"/>
              <w:jc w:val="left"/>
            </w:pPr>
            <w:r>
              <w:rPr>
                <w:rFonts w:ascii="DejaVu Serif" w:hAnsi="DejaVu Serif" w:eastAsia="Noto Sans CJK SC"/>
                <w:b/>
                <w:bCs/>
                <w:color w:val="000000"/>
                <w:sz w:val="19"/>
              </w:rPr>
              <w:t xml:space="preserve">Positioning</w:t>
            </w:r>
          </w:p>
        </w:tc>
        <w:tc>
          <w:tcPr/>
          <w:p>
            <w:pPr>
              <w:pStyle w:val="Compact"/>
              <w:spacing w:after="40" w:line="288" w:lineRule="auto"/>
              <w:jc w:val="left"/>
            </w:pPr>
            <w:r>
              <w:rPr>
                <w:rFonts w:ascii="DejaVu Serif" w:hAnsi="DejaVu Serif" w:eastAsia="Noto Sans CJK SC"/>
                <w:color w:val="000000"/>
                <w:sz w:val="19"/>
              </w:rPr>
              <w:t xml:space="preserve">Filing of transcribed call recordings</w:t>
            </w:r>
          </w:p>
        </w:tc>
      </w:tr>
      <w:tr>
        <w:tc>
          <w:tcPr/>
          <w:p>
            <w:pPr>
              <w:pStyle w:val="Compact"/>
              <w:spacing w:after="40" w:line="288" w:lineRule="auto"/>
              <w:jc w:val="left"/>
            </w:pPr>
            <w:r>
              <w:rPr>
                <w:rFonts w:ascii="DejaVu Serif" w:hAnsi="DejaVu Serif" w:eastAsia="Noto Sans CJK SC"/>
                <w:b/>
                <w:bCs/>
                <w:color w:val="000000"/>
                <w:sz w:val="19"/>
              </w:rPr>
              <w:t xml:space="preserve">Scope of Content</w:t>
            </w:r>
          </w:p>
        </w:tc>
        <w:tc>
          <w:tcPr/>
          <w:p>
            <w:pPr>
              <w:pStyle w:val="Compact"/>
              <w:spacing w:after="40" w:line="288" w:lineRule="auto"/>
              <w:jc w:val="left"/>
            </w:pPr>
            <w:r>
              <w:rPr>
                <w:rFonts w:ascii="DejaVu Serif" w:hAnsi="DejaVu Serif" w:eastAsia="Noto Sans CJK SC"/>
                <w:color w:val="000000"/>
                <w:sz w:val="19"/>
              </w:rPr>
              <w:t xml:space="preserve">Transcribed text of personal calls or calls involving both personal and company matters</w:t>
            </w:r>
          </w:p>
        </w:tc>
      </w:tr>
    </w:tbl>
    <w:bookmarkEnd w:id="317"/>
    <w:bookmarkStart w:id="318" w:name="Xf41c14406ace0216e7144febdfd411b0427f1c6"/>
    <w:p>
      <w:pPr>
        <w:pStyle w:val="Heading3"/>
        <w:spacing w:after="120" w:line="312" w:lineRule="auto"/>
        <w:jc w:val="left"/>
      </w:pPr>
      <w:r>
        <w:rPr>
          <w:rFonts w:ascii="DejaVu Serif" w:hAnsi="DejaVu Serif" w:eastAsia="Noto Serif CJK SC"/>
          <w:color w:val="000000"/>
          <w:sz w:val="26"/>
        </w:rPr>
        <w:t xml:space="preserve">Twelve, Annex: Efficient Route Guide for Cross-City Commuting and Sub-Leasing Income Generation Plans from Surrounding Areas of Shanghai·Shenzhen·Haikou to Central Cities like Shanghai</w:t>
      </w:r>
    </w:p>
    <w:tbl>
      <w:tblPr>
        <w:tblStyle w:val="Table"/>
        <w:tblW w:type="pct" w:w="5000"/>
        <w:jc w:val="left"/>
        <w:tblLayout w:type="fixed"/>
        <w:tblLook w:firstRow="1" w:lastRow="0" w:firstColumn="0" w:lastColumn="0" w:noHBand="0" w:noVBand="0" w:val="002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3960"/>
        <w:gridCol w:w="3960"/>
      </w:tblGrid>
      <w:tr>
        <w:trPr>
          <w:tblHeader w:val="on"/>
        </w:trPr>
        <w:tc>
          <w:tcPr/>
          <w:p>
            <w:pPr>
              <w:pStyle w:val="Compact"/>
              <w:spacing w:after="40" w:line="288" w:lineRule="auto"/>
              <w:jc w:val="left"/>
            </w:pPr>
            <w:r>
              <w:rPr>
                <w:rFonts w:ascii="DejaVu Serif" w:hAnsi="DejaVu Serif" w:eastAsia="Noto Sans CJK SC"/>
                <w:color w:val="000000"/>
                <w:sz w:val="19"/>
              </w:rPr>
              <w:t xml:space="preserve">Attribute</w:t>
            </w:r>
          </w:p>
        </w:tc>
        <w:tc>
          <w:tcPr/>
          <w:p>
            <w:pPr>
              <w:pStyle w:val="Compact"/>
              <w:spacing w:after="40" w:line="288" w:lineRule="auto"/>
              <w:jc w:val="left"/>
            </w:pPr>
            <w:r>
              <w:rPr>
                <w:rFonts w:ascii="DejaVu Serif" w:hAnsi="DejaVu Serif" w:eastAsia="Noto Sans CJK SC"/>
                <w:color w:val="000000"/>
                <w:sz w:val="19"/>
              </w:rPr>
              <w:t xml:space="preserve">Content</w:t>
            </w:r>
          </w:p>
        </w:tc>
      </w:tr>
      <w:tr>
        <w:tc>
          <w:tcPr/>
          <w:p>
            <w:pPr>
              <w:pStyle w:val="Compact"/>
              <w:spacing w:after="40" w:line="288" w:lineRule="auto"/>
              <w:jc w:val="left"/>
            </w:pPr>
            <w:r>
              <w:rPr>
                <w:rFonts w:ascii="DejaVu Serif" w:hAnsi="DejaVu Serif" w:eastAsia="Noto Sans CJK SC"/>
                <w:b/>
                <w:bCs/>
                <w:color w:val="000000"/>
                <w:sz w:val="19"/>
              </w:rPr>
              <w:t xml:space="preserve">Positioning</w:t>
            </w:r>
          </w:p>
        </w:tc>
        <w:tc>
          <w:tcPr/>
          <w:p>
            <w:pPr>
              <w:pStyle w:val="Compact"/>
              <w:spacing w:after="40" w:line="288" w:lineRule="auto"/>
              <w:jc w:val="left"/>
            </w:pPr>
            <w:r>
              <w:rPr>
                <w:rFonts w:ascii="DejaVu Serif" w:hAnsi="DejaVu Serif" w:eastAsia="Noto Sans CJK SC"/>
                <w:color w:val="000000"/>
                <w:sz w:val="19"/>
              </w:rPr>
              <w:t xml:space="preserve">Cross-city commuting and leasing solutions</w:t>
            </w:r>
          </w:p>
        </w:tc>
      </w:tr>
      <w:tr>
        <w:tc>
          <w:tcPr/>
          <w:p>
            <w:pPr>
              <w:pStyle w:val="Compact"/>
              <w:spacing w:after="40" w:line="288" w:lineRule="auto"/>
              <w:jc w:val="left"/>
            </w:pPr>
            <w:r>
              <w:rPr>
                <w:rFonts w:ascii="DejaVu Serif" w:hAnsi="DejaVu Serif" w:eastAsia="Noto Sans CJK SC"/>
                <w:b/>
                <w:bCs/>
                <w:color w:val="000000"/>
                <w:sz w:val="19"/>
              </w:rPr>
              <w:t xml:space="preserve">Scope of Content</w:t>
            </w:r>
          </w:p>
        </w:tc>
        <w:tc>
          <w:tcPr/>
          <w:p>
            <w:pPr>
              <w:pStyle w:val="Compact"/>
              <w:spacing w:after="40" w:line="288" w:lineRule="auto"/>
              <w:jc w:val="left"/>
            </w:pPr>
            <w:r>
              <w:rPr>
                <w:rFonts w:ascii="DejaVu Serif" w:hAnsi="DejaVu Serif" w:eastAsia="Noto Sans CJK SC"/>
                <w:color w:val="000000"/>
                <w:sz w:val="19"/>
              </w:rPr>
              <w:t xml:space="preserve">Commuting routes from surrounding cities like Shanghai/Shenzhen/Haikou to central cities, and sub-leasing income generation strategies</w:t>
            </w:r>
          </w:p>
        </w:tc>
      </w:tr>
    </w:tbl>
    <w:bookmarkEnd w:id="318"/>
    <w:bookmarkStart w:id="319" w:name="X3b32b248d76f234428f718d9c5eedabc988f25f"/>
    <w:p>
      <w:pPr>
        <w:pStyle w:val="Heading3"/>
        <w:spacing w:after="120" w:line="312" w:lineRule="auto"/>
        <w:jc w:val="left"/>
      </w:pPr>
      <w:r>
        <w:rPr>
          <w:rFonts w:ascii="DejaVu Serif" w:hAnsi="DejaVu Serif" w:eastAsia="Noto Serif CJK SC"/>
          <w:color w:val="000000"/>
          <w:sz w:val="26"/>
        </w:rPr>
        <w:t xml:space="preserve">Thirteen, Annex: Content of Physical Dialogue Records to be Filed (Transcribed from Physical Dialogue Oral Recordings) Filing</w:t>
      </w:r>
    </w:p>
    <w:tbl>
      <w:tblPr>
        <w:tblStyle w:val="Table"/>
        <w:tblW w:type="pct" w:w="5000"/>
        <w:jc w:val="left"/>
        <w:tblLayout w:type="fixed"/>
        <w:tblLook w:firstRow="1" w:lastRow="0" w:firstColumn="0" w:lastColumn="0" w:noHBand="0" w:noVBand="0" w:val="002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3960"/>
        <w:gridCol w:w="3960"/>
      </w:tblGrid>
      <w:tr>
        <w:trPr>
          <w:tblHeader w:val="on"/>
        </w:trPr>
        <w:tc>
          <w:tcPr/>
          <w:p>
            <w:pPr>
              <w:pStyle w:val="Compact"/>
              <w:spacing w:after="40" w:line="288" w:lineRule="auto"/>
              <w:jc w:val="left"/>
            </w:pPr>
            <w:r>
              <w:rPr>
                <w:rFonts w:ascii="DejaVu Serif" w:hAnsi="DejaVu Serif" w:eastAsia="Noto Sans CJK SC"/>
                <w:color w:val="000000"/>
                <w:sz w:val="19"/>
              </w:rPr>
              <w:t xml:space="preserve">Attribute</w:t>
            </w:r>
          </w:p>
        </w:tc>
        <w:tc>
          <w:tcPr/>
          <w:p>
            <w:pPr>
              <w:pStyle w:val="Compact"/>
              <w:spacing w:after="40" w:line="288" w:lineRule="auto"/>
              <w:jc w:val="left"/>
            </w:pPr>
            <w:r>
              <w:rPr>
                <w:rFonts w:ascii="DejaVu Serif" w:hAnsi="DejaVu Serif" w:eastAsia="Noto Sans CJK SC"/>
                <w:color w:val="000000"/>
                <w:sz w:val="19"/>
              </w:rPr>
              <w:t xml:space="preserve">Content</w:t>
            </w:r>
          </w:p>
        </w:tc>
      </w:tr>
      <w:tr>
        <w:tc>
          <w:tcPr/>
          <w:p>
            <w:pPr>
              <w:pStyle w:val="Compact"/>
              <w:spacing w:after="40" w:line="288" w:lineRule="auto"/>
              <w:jc w:val="left"/>
            </w:pPr>
            <w:r>
              <w:rPr>
                <w:rFonts w:ascii="DejaVu Serif" w:hAnsi="DejaVu Serif" w:eastAsia="Noto Sans CJK SC"/>
                <w:b/>
                <w:bCs/>
                <w:color w:val="000000"/>
                <w:sz w:val="19"/>
              </w:rPr>
              <w:t xml:space="preserve">Positioning</w:t>
            </w:r>
          </w:p>
        </w:tc>
        <w:tc>
          <w:tcPr/>
          <w:p>
            <w:pPr>
              <w:pStyle w:val="Compact"/>
              <w:spacing w:after="40" w:line="288" w:lineRule="auto"/>
              <w:jc w:val="left"/>
            </w:pPr>
            <w:r>
              <w:rPr>
                <w:rFonts w:ascii="DejaVu Serif" w:hAnsi="DejaVu Serif" w:eastAsia="Noto Sans CJK SC"/>
                <w:color w:val="000000"/>
                <w:sz w:val="19"/>
              </w:rPr>
              <w:t xml:space="preserve">Filing of transcribed face-to-face dialogue recordings</w:t>
            </w:r>
          </w:p>
        </w:tc>
      </w:tr>
      <w:tr>
        <w:tc>
          <w:tcPr/>
          <w:p>
            <w:pPr>
              <w:pStyle w:val="Compact"/>
              <w:spacing w:after="40" w:line="288" w:lineRule="auto"/>
              <w:jc w:val="left"/>
            </w:pPr>
            <w:r>
              <w:rPr>
                <w:rFonts w:ascii="DejaVu Serif" w:hAnsi="DejaVu Serif" w:eastAsia="Noto Sans CJK SC"/>
                <w:b/>
                <w:bCs/>
                <w:color w:val="000000"/>
                <w:sz w:val="19"/>
              </w:rPr>
              <w:t xml:space="preserve">Scope of Content</w:t>
            </w:r>
          </w:p>
        </w:tc>
        <w:tc>
          <w:tcPr/>
          <w:p>
            <w:pPr>
              <w:pStyle w:val="Compact"/>
              <w:spacing w:after="40" w:line="288" w:lineRule="auto"/>
              <w:jc w:val="left"/>
            </w:pPr>
            <w:r>
              <w:rPr>
                <w:rFonts w:ascii="DejaVu Serif" w:hAnsi="DejaVu Serif" w:eastAsia="Noto Sans CJK SC"/>
                <w:color w:val="000000"/>
                <w:sz w:val="19"/>
              </w:rPr>
              <w:t xml:space="preserve">Transcribed text of oral recordings from physical face-to-face conversations (involving both individuals and companies)</w:t>
            </w:r>
          </w:p>
        </w:tc>
      </w:tr>
    </w:tbl>
    <w:bookmarkEnd w:id="319"/>
    <w:bookmarkEnd w:id="320"/>
    <w:bookmarkStart w:id="321" w:name="X24018e58c8613f324a1278e919fefb93e314456"/>
    <w:p>
      <w:pPr>
        <w:pStyle w:val="Heading2"/>
        <w:spacing w:after="160" w:line="312" w:lineRule="auto"/>
        <w:jc w:val="left"/>
      </w:pPr>
      <w:r>
        <w:rPr>
          <w:rFonts w:ascii="DejaVu Serif" w:hAnsi="DejaVu Serif" w:eastAsia="Noto Serif CJK SC"/>
          <w:color w:val="000000"/>
          <w:sz w:val="30"/>
        </w:rPr>
        <w:t xml:space="preserve">Chapter II · Important Supplementary Annex Collection of the Charter</w:t>
      </w:r>
    </w:p>
    <w:tbl>
      <w:tblPr>
        <w:tblStyle w:val="Table"/>
        <w:tblW w:type="pct" w:w="5000"/>
        <w:jc w:val="left"/>
        <w:tblLayout w:type="fixed"/>
        <w:tblLook w:firstRow="1" w:lastRow="0" w:firstColumn="0" w:lastColumn="0" w:noHBand="0" w:noVBand="0" w:val="002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3960"/>
        <w:gridCol w:w="3960"/>
      </w:tblGrid>
      <w:tr>
        <w:trPr>
          <w:tblHeader w:val="on"/>
        </w:trPr>
        <w:tc>
          <w:tcPr/>
          <w:p>
            <w:pPr>
              <w:pStyle w:val="Compact"/>
              <w:spacing w:after="40" w:line="288" w:lineRule="auto"/>
              <w:jc w:val="left"/>
            </w:pPr>
            <w:r>
              <w:rPr>
                <w:rFonts w:ascii="DejaVu Serif" w:hAnsi="DejaVu Serif" w:eastAsia="Noto Sans CJK SC"/>
                <w:color w:val="000000"/>
                <w:sz w:val="19"/>
              </w:rPr>
              <w:t xml:space="preserve">Attribute</w:t>
            </w:r>
          </w:p>
        </w:tc>
        <w:tc>
          <w:tcPr/>
          <w:p>
            <w:pPr>
              <w:pStyle w:val="Compact"/>
              <w:spacing w:after="40" w:line="288" w:lineRule="auto"/>
              <w:jc w:val="left"/>
            </w:pPr>
            <w:r>
              <w:rPr>
                <w:rFonts w:ascii="DejaVu Serif" w:hAnsi="DejaVu Serif" w:eastAsia="Noto Sans CJK SC"/>
                <w:color w:val="000000"/>
                <w:sz w:val="19"/>
              </w:rPr>
              <w:t xml:space="preserve">Content</w:t>
            </w:r>
          </w:p>
        </w:tc>
      </w:tr>
      <w:tr>
        <w:tc>
          <w:tcPr/>
          <w:p>
            <w:pPr>
              <w:pStyle w:val="Compact"/>
              <w:spacing w:after="40" w:line="288" w:lineRule="auto"/>
              <w:jc w:val="left"/>
            </w:pPr>
            <w:r>
              <w:rPr>
                <w:rFonts w:ascii="DejaVu Serif" w:hAnsi="DejaVu Serif" w:eastAsia="Noto Sans CJK SC"/>
                <w:b/>
                <w:bCs/>
                <w:color w:val="000000"/>
                <w:sz w:val="19"/>
              </w:rPr>
              <w:t xml:space="preserve">Positioning</w:t>
            </w:r>
          </w:p>
        </w:tc>
        <w:tc>
          <w:tcPr/>
          <w:p>
            <w:pPr>
              <w:pStyle w:val="Compact"/>
              <w:spacing w:after="40" w:line="288" w:lineRule="auto"/>
              <w:jc w:val="left"/>
            </w:pPr>
            <w:r>
              <w:rPr>
                <w:rFonts w:ascii="DejaVu Serif" w:hAnsi="DejaVu Serif" w:eastAsia="Noto Sans CJK SC"/>
                <w:color w:val="000000"/>
                <w:sz w:val="19"/>
              </w:rPr>
              <w:t xml:space="preserve">Important supplementary explanations and extension documents for the main Charter and annex system</w:t>
            </w:r>
          </w:p>
        </w:tc>
      </w:tr>
      <w:tr>
        <w:tc>
          <w:tcPr/>
          <w:p>
            <w:pPr>
              <w:pStyle w:val="Compact"/>
              <w:spacing w:after="40" w:line="288" w:lineRule="auto"/>
              <w:jc w:val="left"/>
            </w:pPr>
            <w:r>
              <w:rPr>
                <w:rFonts w:ascii="DejaVu Serif" w:hAnsi="DejaVu Serif" w:eastAsia="Noto Sans CJK SC"/>
                <w:b/>
                <w:bCs/>
                <w:color w:val="000000"/>
                <w:sz w:val="19"/>
              </w:rPr>
              <w:t xml:space="preserve">Scope of Content</w:t>
            </w:r>
          </w:p>
        </w:tc>
        <w:tc>
          <w:tcPr/>
          <w:p>
            <w:pPr>
              <w:pStyle w:val="Compact"/>
              <w:spacing w:after="40" w:line="288" w:lineRule="auto"/>
              <w:jc w:val="left"/>
            </w:pPr>
            <w:r>
              <w:rPr>
                <w:rFonts w:ascii="DejaVu Serif" w:hAnsi="DejaVu Serif" w:eastAsia="Noto Sans CJK SC"/>
                <w:color w:val="000000"/>
                <w:sz w:val="19"/>
              </w:rPr>
              <w:t xml:space="preserve">Key supplementary materials from the Charter-making process, extended interpretations, informal but reference-worthy institutional documents, etc.</w:t>
            </w:r>
          </w:p>
        </w:tc>
      </w:tr>
    </w:tbl>
    <w:bookmarkEnd w:id="321"/>
    <w:bookmarkStart w:id="325" w:name="X3e7df87db8672470ebdb322cf97009e18803f04"/>
    <w:p>
      <w:pPr>
        <w:pStyle w:val="Heading2"/>
        <w:spacing w:after="160" w:line="312" w:lineRule="auto"/>
        <w:jc w:val="left"/>
      </w:pPr>
      <w:r>
        <w:rPr>
          <w:rFonts w:ascii="DejaVu Serif" w:hAnsi="DejaVu Serif" w:eastAsia="Noto Serif CJK SC"/>
          <w:color w:val="000000"/>
          <w:sz w:val="30"/>
        </w:rPr>
        <w:t xml:space="preserve">Chapter III · Root Directory Independent Annex Files</w:t>
      </w:r>
    </w:p>
    <w:bookmarkStart w:id="322" w:name="X22d606088877ca811147e690d553403a23de48e"/>
    <w:p>
      <w:pPr>
        <w:pStyle w:val="Heading3"/>
        <w:spacing w:after="120" w:line="312" w:lineRule="auto"/>
        <w:jc w:val="left"/>
      </w:pPr>
      <w:r>
        <w:rPr>
          <w:rFonts w:ascii="DejaVu Serif" w:hAnsi="DejaVu Serif" w:eastAsia="Noto Serif CJK SC"/>
          <w:color w:val="000000"/>
          <w:sz w:val="26"/>
        </w:rPr>
        <w:t xml:space="preserve">Document One: Annex Four Ethics Review Checklist</w:t>
      </w:r>
    </w:p>
    <w:tbl>
      <w:tblPr>
        <w:tblStyle w:val="Table"/>
        <w:tblW w:type="pct" w:w="5000"/>
        <w:jc w:val="left"/>
        <w:tblLayout w:type="fixed"/>
        <w:tblLook w:firstRow="1" w:lastRow="0" w:firstColumn="0" w:lastColumn="0" w:noHBand="0" w:noVBand="0" w:val="002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3960"/>
        <w:gridCol w:w="3960"/>
      </w:tblGrid>
      <w:tr>
        <w:trPr>
          <w:tblHeader w:val="on"/>
        </w:trPr>
        <w:tc>
          <w:tcPr/>
          <w:p>
            <w:pPr>
              <w:pStyle w:val="Compact"/>
              <w:spacing w:after="40" w:line="288" w:lineRule="auto"/>
              <w:jc w:val="left"/>
            </w:pPr>
            <w:r>
              <w:rPr>
                <w:rFonts w:ascii="DejaVu Serif" w:hAnsi="DejaVu Serif" w:eastAsia="Noto Sans CJK SC"/>
                <w:color w:val="000000"/>
                <w:sz w:val="19"/>
              </w:rPr>
              <w:t xml:space="preserve">Attribute</w:t>
            </w:r>
          </w:p>
        </w:tc>
        <w:tc>
          <w:tcPr/>
          <w:p>
            <w:pPr>
              <w:pStyle w:val="Compact"/>
              <w:spacing w:after="40" w:line="288" w:lineRule="auto"/>
              <w:jc w:val="left"/>
            </w:pPr>
            <w:r>
              <w:rPr>
                <w:rFonts w:ascii="DejaVu Serif" w:hAnsi="DejaVu Serif" w:eastAsia="Noto Sans CJK SC"/>
                <w:color w:val="000000"/>
                <w:sz w:val="19"/>
              </w:rPr>
              <w:t xml:space="preserve">Content</w:t>
            </w:r>
          </w:p>
        </w:tc>
      </w:tr>
      <w:tr>
        <w:tc>
          <w:tcPr/>
          <w:p>
            <w:pPr>
              <w:pStyle w:val="Compact"/>
              <w:spacing w:after="40" w:line="288" w:lineRule="auto"/>
              <w:jc w:val="left"/>
            </w:pPr>
            <w:r>
              <w:rPr>
                <w:rFonts w:ascii="DejaVu Serif" w:hAnsi="DejaVu Serif" w:eastAsia="Noto Sans CJK SC"/>
                <w:b/>
                <w:bCs/>
                <w:color w:val="000000"/>
                <w:sz w:val="19"/>
              </w:rPr>
              <w:t xml:space="preserve">File Name</w:t>
            </w:r>
          </w:p>
        </w:tc>
        <w:tc>
          <w:tcPr/>
          <w:p>
            <w:pPr>
              <w:pStyle w:val="Compact"/>
              <w:spacing w:after="40" w:line="288" w:lineRule="auto"/>
              <w:jc w:val="left"/>
            </w:pPr>
            <w:r>
              <w:rPr>
                <w:rFonts w:ascii="DejaVu Serif" w:hAnsi="DejaVu Serif" w:eastAsia="Noto Sans CJK SC"/>
                <w:color w:val="000000"/>
                <w:sz w:val="19"/>
              </w:rPr>
              <w:t xml:space="preserve">PDF_Annex Four Ethics Review Checklist.pdf</w:t>
            </w:r>
          </w:p>
        </w:tc>
      </w:tr>
      <w:tr>
        <w:tc>
          <w:tcPr/>
          <w:p>
            <w:pPr>
              <w:pStyle w:val="Compact"/>
              <w:spacing w:after="40" w:line="288" w:lineRule="auto"/>
              <w:jc w:val="left"/>
            </w:pPr>
            <w:r>
              <w:rPr>
                <w:rFonts w:ascii="DejaVu Serif" w:hAnsi="DejaVu Serif" w:eastAsia="Noto Sans CJK SC"/>
                <w:b/>
                <w:bCs/>
                <w:color w:val="000000"/>
                <w:sz w:val="19"/>
              </w:rPr>
              <w:t xml:space="preserve">Type</w:t>
            </w:r>
          </w:p>
        </w:tc>
        <w:tc>
          <w:tcPr/>
          <w:p>
            <w:pPr>
              <w:pStyle w:val="Compact"/>
              <w:spacing w:after="40" w:line="288" w:lineRule="auto"/>
              <w:jc w:val="left"/>
            </w:pPr>
            <w:r>
              <w:rPr>
                <w:rFonts w:ascii="DejaVu Serif" w:hAnsi="DejaVu Serif" w:eastAsia="Noto Sans CJK SC"/>
                <w:color w:val="000000"/>
                <w:sz w:val="19"/>
              </w:rPr>
              <w:t xml:space="preserve">PDF</w:t>
            </w:r>
          </w:p>
        </w:tc>
      </w:tr>
      <w:tr>
        <w:tc>
          <w:tcPr/>
          <w:p>
            <w:pPr>
              <w:pStyle w:val="Compact"/>
              <w:spacing w:after="40" w:line="288" w:lineRule="auto"/>
              <w:jc w:val="left"/>
            </w:pPr>
            <w:r>
              <w:rPr>
                <w:rFonts w:ascii="DejaVu Serif" w:hAnsi="DejaVu Serif" w:eastAsia="Noto Sans CJK SC"/>
                <w:b/>
                <w:bCs/>
                <w:color w:val="000000"/>
                <w:sz w:val="19"/>
              </w:rPr>
              <w:t xml:space="preserve">Positioning</w:t>
            </w:r>
          </w:p>
        </w:tc>
        <w:tc>
          <w:tcPr/>
          <w:p>
            <w:pPr>
              <w:pStyle w:val="Compact"/>
              <w:spacing w:after="40" w:line="288" w:lineRule="auto"/>
              <w:jc w:val="left"/>
            </w:pPr>
            <w:r>
              <w:rPr>
                <w:rFonts w:ascii="DejaVu Serif" w:hAnsi="DejaVu Serif" w:eastAsia="Noto Sans CJK SC"/>
                <w:color w:val="000000"/>
                <w:sz w:val="19"/>
              </w:rPr>
              <w:t xml:space="preserve">Ethics review checklist, a supporting annex belonging to Annex A.07.001</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Code of Ethics and Etiquette (Grand Code)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000000"/>
                <w:sz w:val="19"/>
              </w:rPr>
              <w:t xml:space="preserve">Core Content</w:t>
            </w:r>
          </w:p>
        </w:tc>
        <w:tc>
          <w:tcPr/>
          <w:p>
            <w:pPr>
              <w:pStyle w:val="Compact"/>
              <w:spacing w:after="40" w:line="288" w:lineRule="auto"/>
              <w:jc w:val="left"/>
            </w:pPr>
            <w:r>
              <w:rPr>
                <w:rFonts w:ascii="DejaVu Serif" w:hAnsi="DejaVu Serif" w:eastAsia="Noto Sans CJK SC"/>
                <w:color w:val="000000"/>
                <w:sz w:val="19"/>
              </w:rPr>
              <w:t xml:space="preserve">Lists 20 review standards for behaviors violating general social morality, covering ethical dimensions such as fairness, respect for boundaries, and integrity</w:t>
            </w:r>
          </w:p>
        </w:tc>
      </w:tr>
    </w:tbl>
    <w:bookmarkEnd w:id="322"/>
    <w:bookmarkStart w:id="323" w:name="Xb193e5b09e8da3f40415fd9afc52b8731665867"/>
    <w:p>
      <w:pPr>
        <w:pStyle w:val="Heading3"/>
        <w:spacing w:after="120" w:line="312" w:lineRule="auto"/>
        <w:jc w:val="left"/>
      </w:pPr>
      <w:r>
        <w:rPr>
          <w:rFonts w:ascii="DejaVu Serif" w:hAnsi="DejaVu Serif" w:eastAsia="Noto Serif CJK SC"/>
          <w:color w:val="000000"/>
          <w:sz w:val="26"/>
        </w:rPr>
        <w:t xml:space="preserve">Document Two: Classification List of Criminal Offenses (Charter Appendix + Alternative Annex)</w:t>
      </w:r>
    </w:p>
    <w:tbl>
      <w:tblPr>
        <w:tblStyle w:val="Table"/>
        <w:tblW w:type="pct" w:w="5000"/>
        <w:jc w:val="left"/>
        <w:tblLayout w:type="fixed"/>
        <w:tblLook w:firstRow="1" w:lastRow="0" w:firstColumn="0" w:lastColumn="0" w:noHBand="0" w:noVBand="0" w:val="002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3960"/>
        <w:gridCol w:w="3960"/>
      </w:tblGrid>
      <w:tr>
        <w:trPr>
          <w:tblHeader w:val="on"/>
        </w:trPr>
        <w:tc>
          <w:tcPr/>
          <w:p>
            <w:pPr>
              <w:pStyle w:val="Compact"/>
              <w:spacing w:after="40" w:line="288" w:lineRule="auto"/>
              <w:jc w:val="left"/>
            </w:pPr>
            <w:r>
              <w:rPr>
                <w:rFonts w:ascii="DejaVu Serif" w:hAnsi="DejaVu Serif" w:eastAsia="Noto Sans CJK SC"/>
                <w:color w:val="000000"/>
                <w:sz w:val="19"/>
              </w:rPr>
              <w:t xml:space="preserve">Attribute</w:t>
            </w:r>
          </w:p>
        </w:tc>
        <w:tc>
          <w:tcPr/>
          <w:p>
            <w:pPr>
              <w:pStyle w:val="Compact"/>
              <w:spacing w:after="40" w:line="288" w:lineRule="auto"/>
              <w:jc w:val="left"/>
            </w:pPr>
            <w:r>
              <w:rPr>
                <w:rFonts w:ascii="DejaVu Serif" w:hAnsi="DejaVu Serif" w:eastAsia="Noto Sans CJK SC"/>
                <w:color w:val="000000"/>
                <w:sz w:val="19"/>
              </w:rPr>
              <w:t xml:space="preserve">Content</w:t>
            </w:r>
          </w:p>
        </w:tc>
      </w:tr>
      <w:tr>
        <w:tc>
          <w:tcPr/>
          <w:p>
            <w:pPr>
              <w:pStyle w:val="Compact"/>
              <w:spacing w:after="40" w:line="288" w:lineRule="auto"/>
              <w:jc w:val="left"/>
            </w:pPr>
            <w:r>
              <w:rPr>
                <w:rFonts w:ascii="DejaVu Serif" w:hAnsi="DejaVu Serif" w:eastAsia="Noto Sans CJK SC"/>
                <w:b/>
                <w:bCs/>
                <w:color w:val="000000"/>
                <w:sz w:val="19"/>
              </w:rPr>
              <w:t xml:space="preserve">File Name</w:t>
            </w:r>
          </w:p>
        </w:tc>
        <w:tc>
          <w:tcPr/>
          <w:p>
            <w:pPr>
              <w:pStyle w:val="Compact"/>
              <w:spacing w:after="40" w:line="288" w:lineRule="auto"/>
              <w:jc w:val="left"/>
            </w:pPr>
            <w:r>
              <w:rPr>
                <w:rFonts w:ascii="DejaVu Serif" w:hAnsi="DejaVu Serif" w:eastAsia="Noto Sans CJK SC"/>
                <w:color w:val="000000"/>
                <w:sz w:val="19"/>
              </w:rPr>
              <w:t xml:space="preserve">Classification List of Different Criminal Offenses by Maximum Sentence and Related Annotations - Flattened [Final Official Bound Version].pdf</w:t>
            </w:r>
          </w:p>
        </w:tc>
      </w:tr>
      <w:tr>
        <w:tc>
          <w:tcPr/>
          <w:p>
            <w:pPr>
              <w:pStyle w:val="Compact"/>
              <w:spacing w:after="40" w:line="288" w:lineRule="auto"/>
              <w:jc w:val="left"/>
            </w:pPr>
            <w:r>
              <w:rPr>
                <w:rFonts w:ascii="DejaVu Serif" w:hAnsi="DejaVu Serif" w:eastAsia="Noto Sans CJK SC"/>
                <w:b/>
                <w:bCs/>
                <w:color w:val="000000"/>
                <w:sz w:val="19"/>
              </w:rPr>
              <w:t xml:space="preserve">Type</w:t>
            </w:r>
          </w:p>
        </w:tc>
        <w:tc>
          <w:tcPr/>
          <w:p>
            <w:pPr>
              <w:pStyle w:val="Compact"/>
              <w:spacing w:after="40" w:line="288" w:lineRule="auto"/>
              <w:jc w:val="left"/>
            </w:pPr>
            <w:r>
              <w:rPr>
                <w:rFonts w:ascii="DejaVu Serif" w:hAnsi="DejaVu Serif" w:eastAsia="Noto Sans CJK SC"/>
                <w:color w:val="000000"/>
                <w:sz w:val="19"/>
              </w:rPr>
              <w:t xml:space="preserve">PDF</w:t>
            </w:r>
          </w:p>
        </w:tc>
      </w:tr>
      <w:tr>
        <w:tc>
          <w:tcPr/>
          <w:p>
            <w:pPr>
              <w:pStyle w:val="Compact"/>
              <w:spacing w:after="40" w:line="288" w:lineRule="auto"/>
              <w:jc w:val="left"/>
            </w:pPr>
            <w:r>
              <w:rPr>
                <w:rFonts w:ascii="DejaVu Serif" w:hAnsi="DejaVu Serif" w:eastAsia="Noto Sans CJK SC"/>
                <w:b/>
                <w:bCs/>
                <w:color w:val="000000"/>
                <w:sz w:val="19"/>
              </w:rPr>
              <w:t xml:space="preserve">Positioning</w:t>
            </w:r>
          </w:p>
        </w:tc>
        <w:tc>
          <w:tcPr/>
          <w:p>
            <w:pPr>
              <w:pStyle w:val="Compact"/>
              <w:spacing w:after="40" w:line="288" w:lineRule="auto"/>
              <w:jc w:val="left"/>
            </w:pPr>
            <w:r>
              <w:rPr>
                <w:rFonts w:ascii="DejaVu Serif" w:hAnsi="DejaVu Serif" w:eastAsia="Noto Sans CJK SC"/>
                <w:color w:val="000000"/>
                <w:sz w:val="19"/>
              </w:rPr>
              <w:t xml:space="preserve">As an appendix and alternative annex to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Charter of Life Action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providing a complete offense index for the Charter’s criminal baseline provisions</w:t>
            </w:r>
          </w:p>
        </w:tc>
      </w:tr>
      <w:tr>
        <w:tc>
          <w:tcPr/>
          <w:p>
            <w:pPr>
              <w:pStyle w:val="Compact"/>
              <w:spacing w:after="40" w:line="288" w:lineRule="auto"/>
              <w:jc w:val="left"/>
            </w:pPr>
            <w:r>
              <w:rPr>
                <w:rFonts w:ascii="DejaVu Serif" w:hAnsi="DejaVu Serif" w:eastAsia="Noto Sans CJK SC"/>
                <w:b/>
                <w:bCs/>
                <w:color w:val="000000"/>
                <w:sz w:val="19"/>
              </w:rPr>
              <w:t xml:space="preserve">Core Content</w:t>
            </w:r>
          </w:p>
        </w:tc>
        <w:tc>
          <w:tcPr/>
          <w:p>
            <w:pPr>
              <w:pStyle w:val="Compact"/>
              <w:spacing w:after="40" w:line="288" w:lineRule="auto"/>
              <w:jc w:val="left"/>
            </w:pPr>
            <w:r>
              <w:rPr>
                <w:rFonts w:ascii="DejaVu Serif" w:hAnsi="DejaVu Serif" w:eastAsia="Noto Sans CJK SC"/>
                <w:color w:val="000000"/>
                <w:sz w:val="19"/>
              </w:rPr>
              <w:t xml:space="preserve">Complete list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Criminal Law</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offenses classified by maximum sentence and related annotations</w:t>
            </w:r>
          </w:p>
        </w:tc>
      </w:tr>
    </w:tbl>
    <w:bookmarkEnd w:id="323"/>
    <w:bookmarkStart w:id="324" w:name="document-three-annex-practical-toolkit"/>
    <w:p>
      <w:pPr>
        <w:pStyle w:val="Heading3"/>
        <w:spacing w:after="120" w:line="312" w:lineRule="auto"/>
        <w:jc w:val="left"/>
      </w:pPr>
      <w:r>
        <w:rPr>
          <w:rFonts w:ascii="DejaVu Serif" w:hAnsi="DejaVu Serif" w:eastAsia="Noto Serif CJK SC"/>
          <w:color w:val="000000"/>
          <w:sz w:val="26"/>
        </w:rPr>
        <w:t xml:space="preserve">Document Three: Annex (Practical Toolkit)</w:t>
      </w:r>
    </w:p>
    <w:tbl>
      <w:tblPr>
        <w:tblStyle w:val="Table"/>
        <w:tblW w:type="pct" w:w="5000"/>
        <w:jc w:val="left"/>
        <w:tblLayout w:type="fixed"/>
        <w:tblLook w:firstRow="1" w:lastRow="0" w:firstColumn="0" w:lastColumn="0" w:noHBand="0" w:noVBand="0" w:val="002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3960"/>
        <w:gridCol w:w="3960"/>
      </w:tblGrid>
      <w:tr>
        <w:trPr>
          <w:tblHeader w:val="on"/>
        </w:trPr>
        <w:tc>
          <w:tcPr/>
          <w:p>
            <w:pPr>
              <w:pStyle w:val="Compact"/>
              <w:spacing w:after="40" w:line="288" w:lineRule="auto"/>
              <w:jc w:val="left"/>
            </w:pPr>
            <w:r>
              <w:rPr>
                <w:rFonts w:ascii="DejaVu Serif" w:hAnsi="DejaVu Serif" w:eastAsia="Noto Sans CJK SC"/>
                <w:color w:val="000000"/>
                <w:sz w:val="19"/>
              </w:rPr>
              <w:t xml:space="preserve">Attribute</w:t>
            </w:r>
          </w:p>
        </w:tc>
        <w:tc>
          <w:tcPr/>
          <w:p>
            <w:pPr>
              <w:pStyle w:val="Compact"/>
              <w:spacing w:after="40" w:line="288" w:lineRule="auto"/>
              <w:jc w:val="left"/>
            </w:pPr>
            <w:r>
              <w:rPr>
                <w:rFonts w:ascii="DejaVu Serif" w:hAnsi="DejaVu Serif" w:eastAsia="Noto Sans CJK SC"/>
                <w:color w:val="000000"/>
                <w:sz w:val="19"/>
              </w:rPr>
              <w:t xml:space="preserve">Content</w:t>
            </w:r>
          </w:p>
        </w:tc>
      </w:tr>
      <w:tr>
        <w:tc>
          <w:tcPr/>
          <w:p>
            <w:pPr>
              <w:pStyle w:val="Compact"/>
              <w:spacing w:after="40" w:line="288" w:lineRule="auto"/>
              <w:jc w:val="left"/>
            </w:pPr>
            <w:r>
              <w:rPr>
                <w:rFonts w:ascii="DejaVu Serif" w:hAnsi="DejaVu Serif" w:eastAsia="Noto Sans CJK SC"/>
                <w:b/>
                <w:bCs/>
                <w:color w:val="000000"/>
                <w:sz w:val="19"/>
              </w:rPr>
              <w:t xml:space="preserve">Type</w:t>
            </w:r>
          </w:p>
        </w:tc>
        <w:tc>
          <w:tcPr/>
          <w:p>
            <w:pPr>
              <w:pStyle w:val="Compact"/>
              <w:spacing w:after="40" w:line="288" w:lineRule="auto"/>
              <w:jc w:val="left"/>
            </w:pPr>
            <w:r>
              <w:rPr>
                <w:rFonts w:ascii="DejaVu Serif" w:hAnsi="DejaVu Serif" w:eastAsia="Noto Sans CJK SC"/>
                <w:color w:val="000000"/>
                <w:sz w:val="19"/>
              </w:rPr>
              <w:t xml:space="preserve">Web link</w:t>
            </w:r>
          </w:p>
        </w:tc>
      </w:tr>
      <w:tr>
        <w:tc>
          <w:tcPr/>
          <w:p>
            <w:pPr>
              <w:pStyle w:val="Compact"/>
              <w:spacing w:after="40" w:line="288" w:lineRule="auto"/>
              <w:jc w:val="left"/>
            </w:pPr>
            <w:r>
              <w:rPr>
                <w:rFonts w:ascii="DejaVu Serif" w:hAnsi="DejaVu Serif" w:eastAsia="Noto Sans CJK SC"/>
                <w:b/>
                <w:bCs/>
                <w:color w:val="000000"/>
                <w:sz w:val="19"/>
              </w:rPr>
              <w:t xml:space="preserve">Positioning</w:t>
            </w:r>
          </w:p>
        </w:tc>
        <w:tc>
          <w:tcPr/>
          <w:p>
            <w:pPr>
              <w:pStyle w:val="Compact"/>
              <w:spacing w:after="40" w:line="288" w:lineRule="auto"/>
              <w:jc w:val="left"/>
            </w:pPr>
            <w:r>
              <w:rPr>
                <w:rFonts w:ascii="DejaVu Serif" w:hAnsi="DejaVu Serif" w:eastAsia="Noto Sans CJK SC"/>
                <w:color w:val="000000"/>
                <w:sz w:val="19"/>
              </w:rPr>
              <w:t xml:space="preserve">Practical tools and resource index library</w:t>
            </w:r>
          </w:p>
        </w:tc>
      </w:tr>
      <w:tr>
        <w:tc>
          <w:tcPr/>
          <w:p>
            <w:pPr>
              <w:pStyle w:val="Compact"/>
              <w:spacing w:after="40" w:line="288" w:lineRule="auto"/>
              <w:jc w:val="left"/>
            </w:pPr>
            <w:r>
              <w:rPr>
                <w:rFonts w:ascii="DejaVu Serif" w:hAnsi="DejaVu Serif" w:eastAsia="Noto Sans CJK SC"/>
                <w:b/>
                <w:bCs/>
                <w:color w:val="000000"/>
                <w:sz w:val="19"/>
              </w:rPr>
              <w:t xml:space="preserve">Scope of Content</w:t>
            </w:r>
          </w:p>
        </w:tc>
        <w:tc>
          <w:tcPr/>
          <w:p>
            <w:pPr>
              <w:pStyle w:val="Compact"/>
              <w:spacing w:after="40" w:line="288" w:lineRule="auto"/>
              <w:jc w:val="left"/>
            </w:pPr>
            <w:r>
              <w:rPr>
                <w:rFonts w:ascii="DejaVu Serif" w:hAnsi="DejaVu Serif" w:eastAsia="Noto Sans CJK SC"/>
                <w:color w:val="000000"/>
                <w:sz w:val="19"/>
              </w:rPr>
              <w:t xml:space="preserve">Compilation list of various online tools and resource links</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324"/>
    <w:bookmarkEnd w:id="325"/>
    <w:bookmarkEnd w:id="326"/>
    <w:bookmarkStart w:id="327" w:name="system-overview-quick-reference-table"/>
    <w:p>
      <w:pPr>
        <w:pStyle w:val="Heading1"/>
        <w:spacing w:after="240" w:line="312" w:lineRule="auto"/>
        <w:jc w:val="center"/>
      </w:pPr>
      <w:r>
        <w:rPr>
          <w:rFonts w:ascii="DejaVu Serif" w:hAnsi="DejaVu Serif" w:eastAsia="Noto Serif CJK SC"/>
          <w:color w:val="000000"/>
          <w:sz w:val="34"/>
        </w:rPr>
        <w:t xml:space="preserve">System Overview (Quick Reference Table)</w:t>
      </w:r>
    </w:p>
    <w:tbl>
      <w:tblPr>
        <w:tblStyle w:val="Table"/>
        <w:tblW w:type="pct" w:w="5000"/>
        <w:jc w:val="left"/>
        <w:tblLayout w:type="fixed"/>
        <w:tblLook w:firstRow="1" w:lastRow="0" w:firstColumn="0" w:lastColumn="0" w:noHBand="0" w:noVBand="0" w:val="002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1056"/>
        <w:gridCol w:w="1584"/>
        <w:gridCol w:w="3168"/>
        <w:gridCol w:w="2112"/>
      </w:tblGrid>
      <w:tr>
        <w:trPr>
          <w:tblHeader w:val="on"/>
        </w:trPr>
        <w:tc>
          <w:tcPr/>
          <w:p>
            <w:pPr>
              <w:pStyle w:val="Compact"/>
              <w:spacing w:after="40" w:line="288" w:lineRule="auto"/>
              <w:jc w:val="left"/>
            </w:pPr>
            <w:r>
              <w:rPr>
                <w:rFonts w:ascii="DejaVu Serif" w:hAnsi="DejaVu Serif" w:eastAsia="Noto Sans CJK SC"/>
                <w:color w:val="000000"/>
                <w:sz w:val="19"/>
              </w:rPr>
              <w:t xml:space="preserve">No.</w:t>
            </w:r>
          </w:p>
        </w:tc>
        <w:tc>
          <w:tcPr/>
          <w:p>
            <w:pPr>
              <w:pStyle w:val="Compact"/>
              <w:spacing w:after="40" w:line="288" w:lineRule="auto"/>
              <w:jc w:val="left"/>
            </w:pPr>
            <w:r>
              <w:rPr>
                <w:rFonts w:ascii="DejaVu Serif" w:hAnsi="DejaVu Serif" w:eastAsia="Noto Sans CJK SC"/>
                <w:color w:val="000000"/>
                <w:sz w:val="19"/>
              </w:rPr>
              <w:t xml:space="preserve">Category</w:t>
            </w:r>
          </w:p>
        </w:tc>
        <w:tc>
          <w:tcPr/>
          <w:p>
            <w:pPr>
              <w:pStyle w:val="Compact"/>
              <w:spacing w:after="40" w:line="288" w:lineRule="auto"/>
              <w:jc w:val="left"/>
            </w:pPr>
            <w:r>
              <w:rPr>
                <w:rFonts w:ascii="DejaVu Serif" w:hAnsi="DejaVu Serif" w:eastAsia="Noto Sans CJK SC"/>
                <w:color w:val="000000"/>
                <w:sz w:val="19"/>
              </w:rPr>
              <w:t xml:space="preserve">Number of Files/Annexes</w:t>
            </w:r>
          </w:p>
        </w:tc>
        <w:tc>
          <w:tcPr/>
          <w:p>
            <w:pPr>
              <w:pStyle w:val="Compact"/>
              <w:spacing w:after="40" w:line="288" w:lineRule="auto"/>
              <w:jc w:val="left"/>
            </w:pPr>
            <w:r>
              <w:rPr>
                <w:rFonts w:ascii="DejaVu Serif" w:hAnsi="DejaVu Serif" w:eastAsia="Noto Sans CJK SC"/>
                <w:color w:val="000000"/>
                <w:sz w:val="19"/>
              </w:rPr>
              <w:t xml:space="preserve">Number of Articles</w:t>
            </w:r>
          </w:p>
        </w:tc>
      </w:tr>
      <w:tr>
        <w:tc>
          <w:tcPr/>
          <w:p>
            <w:pPr>
              <w:pStyle w:val="Compact"/>
              <w:spacing w:after="40" w:line="288" w:lineRule="auto"/>
              <w:jc w:val="left"/>
            </w:pPr>
            <w:r>
              <w:rPr>
                <w:rFonts w:ascii="DejaVu Serif" w:hAnsi="DejaVu Serif" w:eastAsia="Noto Sans CJK SC"/>
                <w:color w:val="000000"/>
                <w:sz w:val="19"/>
              </w:rPr>
              <w:t xml:space="preserve">Part I</w:t>
            </w:r>
          </w:p>
        </w:tc>
        <w:tc>
          <w:tcPr/>
          <w:p>
            <w:pPr>
              <w:pStyle w:val="Compact"/>
              <w:spacing w:after="40" w:line="288" w:lineRule="auto"/>
              <w:jc w:val="left"/>
            </w:pPr>
            <w:r>
              <w:rPr>
                <w:rFonts w:ascii="DejaVu Serif" w:hAnsi="DejaVu Serif" w:eastAsia="Noto Sans CJK SC"/>
                <w:color w:val="000000"/>
                <w:sz w:val="19"/>
              </w:rPr>
              <w:t xml:space="preserve">Main Charter</w:t>
            </w:r>
          </w:p>
        </w:tc>
        <w:tc>
          <w:tcPr/>
          <w:p>
            <w:pPr>
              <w:pStyle w:val="Compact"/>
              <w:spacing w:after="40" w:line="288" w:lineRule="auto"/>
              <w:jc w:val="left"/>
            </w:pPr>
            <w:r>
              <w:rPr>
                <w:rFonts w:ascii="DejaVu Serif" w:hAnsi="DejaVu Serif" w:eastAsia="Noto Sans CJK SC"/>
                <w:color w:val="000000"/>
                <w:sz w:val="19"/>
              </w:rPr>
              <w:t xml:space="preserve">1 Part</w:t>
            </w:r>
          </w:p>
        </w:tc>
        <w:tc>
          <w:tcPr/>
          <w:p>
            <w:pPr>
              <w:pStyle w:val="Compact"/>
              <w:spacing w:after="40" w:line="288" w:lineRule="auto"/>
              <w:jc w:val="left"/>
            </w:pPr>
            <w:r>
              <w:rPr>
                <w:rFonts w:ascii="DejaVu Serif" w:hAnsi="DejaVu Serif" w:eastAsia="Noto Sans CJK SC"/>
                <w:b/>
                <w:bCs/>
                <w:color w:val="000000"/>
                <w:sz w:val="19"/>
              </w:rPr>
              <w:t xml:space="preserve">143 Articles</w:t>
            </w:r>
          </w:p>
        </w:tc>
      </w:tr>
      <w:tr>
        <w:tc>
          <w:tcPr/>
          <w:p>
            <w:pPr>
              <w:pStyle w:val="Compact"/>
              <w:spacing w:after="40" w:line="288" w:lineRule="auto"/>
              <w:jc w:val="left"/>
            </w:pPr>
            <w:r>
              <w:rPr>
                <w:rFonts w:ascii="DejaVu Serif" w:hAnsi="DejaVu Serif" w:eastAsia="Noto Sans CJK SC"/>
                <w:color w:val="000000"/>
                <w:sz w:val="19"/>
              </w:rPr>
              <w:t xml:space="preserve">Part II</w:t>
            </w:r>
          </w:p>
        </w:tc>
        <w:tc>
          <w:tcPr/>
          <w:p>
            <w:pPr>
              <w:pStyle w:val="Compact"/>
              <w:spacing w:after="40" w:line="288" w:lineRule="auto"/>
              <w:jc w:val="left"/>
            </w:pPr>
            <w:r>
              <w:rPr>
                <w:rFonts w:ascii="DejaVu Serif" w:hAnsi="DejaVu Serif" w:eastAsia="Noto Sans CJK SC"/>
                <w:color w:val="000000"/>
                <w:sz w:val="19"/>
              </w:rPr>
              <w:t xml:space="preserve">Amendments (5 items) + Correction Bills (2 items) + Rectification Bills (1 item)</w:t>
            </w:r>
          </w:p>
        </w:tc>
        <w:tc>
          <w:tcPr/>
          <w:p>
            <w:pPr>
              <w:pStyle w:val="Compact"/>
              <w:spacing w:after="40" w:line="288" w:lineRule="auto"/>
              <w:jc w:val="left"/>
            </w:pPr>
            <w:r>
              <w:rPr>
                <w:rFonts w:ascii="DejaVu Serif" w:hAnsi="DejaVu Serif" w:eastAsia="Noto Sans CJK SC"/>
                <w:color w:val="000000"/>
                <w:sz w:val="19"/>
              </w:rPr>
              <w:t xml:space="preserve">8 items</w:t>
            </w:r>
          </w:p>
        </w:tc>
        <w:tc>
          <w:tcPr/>
          <w:p>
            <w:pPr>
              <w:pStyle w:val="Compact"/>
              <w:spacing w:after="40" w:line="288" w:lineRule="auto"/>
              <w:jc w:val="left"/>
            </w:pPr>
            <w:r>
              <w:rPr>
                <w:rFonts w:ascii="DejaVu Serif" w:hAnsi="DejaVu Serif" w:eastAsia="Noto Sans CJK SC"/>
                <w:b/>
                <w:bCs/>
                <w:color w:val="000000"/>
                <w:sz w:val="19"/>
              </w:rPr>
              <w:t xml:space="preserve">+24 Articles</w:t>
            </w:r>
          </w:p>
        </w:tc>
      </w:tr>
      <w:tr>
        <w:tc>
          <w:tcPr/>
          <w:p>
            <w:pPr>
              <w:pStyle w:val="Compact"/>
              <w:spacing w:after="40" w:line="288" w:lineRule="auto"/>
              <w:jc w:val="left"/>
            </w:pPr>
            <w:r>
              <w:rPr>
                <w:rFonts w:ascii="DejaVu Serif" w:hAnsi="DejaVu Serif" w:eastAsia="Noto Sans CJK SC"/>
                <w:color w:val="000000"/>
                <w:sz w:val="19"/>
              </w:rPr>
              <w:t xml:space="preserve">Part III</w:t>
            </w:r>
          </w:p>
        </w:tc>
        <w:tc>
          <w:tcPr/>
          <w:p>
            <w:pPr>
              <w:pStyle w:val="Compact"/>
              <w:spacing w:after="40" w:line="288" w:lineRule="auto"/>
              <w:jc w:val="left"/>
            </w:pPr>
            <w:r>
              <w:rPr>
                <w:rFonts w:ascii="DejaVu Serif" w:hAnsi="DejaVu Serif" w:eastAsia="Noto Sans CJK SC"/>
                <w:color w:val="000000"/>
                <w:sz w:val="19"/>
              </w:rPr>
              <w:t xml:space="preserve">Annex System (A.01–F.01)</w:t>
            </w:r>
          </w:p>
        </w:tc>
        <w:tc>
          <w:tcPr/>
          <w:p>
            <w:pPr>
              <w:pStyle w:val="Compact"/>
              <w:spacing w:after="40" w:line="288" w:lineRule="auto"/>
              <w:jc w:val="left"/>
            </w:pPr>
            <w:r>
              <w:rPr>
                <w:rFonts w:ascii="DejaVu Serif" w:hAnsi="DejaVu Serif" w:eastAsia="Noto Sans CJK SC"/>
                <w:color w:val="000000"/>
                <w:sz w:val="19"/>
              </w:rPr>
              <w:t xml:space="preserve">13 items</w:t>
            </w:r>
          </w:p>
        </w:tc>
        <w:tc>
          <w:tcPr/>
          <w:p>
            <w:pPr>
              <w:pStyle w:val="Compact"/>
              <w:spacing w:after="40" w:line="288" w:lineRule="auto"/>
              <w:jc w:val="left"/>
            </w:pPr>
            <w:r>
              <w:rPr>
                <w:rFonts w:ascii="DejaVu Serif" w:hAnsi="DejaVu Serif" w:eastAsia="Noto Sans CJK SC"/>
                <w:b/>
                <w:bCs/>
                <w:color w:val="000000"/>
                <w:sz w:val="19"/>
              </w:rPr>
              <w:t xml:space="preserve">+111 Articles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(including A1 Retention Statement)</w:t>
            </w:r>
          </w:p>
        </w:tc>
      </w:tr>
      <w:tr>
        <w:tc>
          <w:tcPr/>
          <w:p>
            <w:pPr>
              <w:pStyle w:val="Compact"/>
              <w:spacing w:after="40" w:line="288" w:lineRule="auto"/>
            </w:pPr>
          </w:p>
        </w:tc>
        <w:tc>
          <w:tcPr/>
          <w:p>
            <w:pPr>
              <w:pStyle w:val="Compact"/>
              <w:spacing w:after="40" w:line="288" w:lineRule="auto"/>
              <w:jc w:val="left"/>
            </w:pPr>
            <w:r>
              <w:rPr>
                <w:rFonts w:ascii="DejaVu Serif" w:hAnsi="DejaVu Serif" w:eastAsia="Noto Sans CJK SC"/>
                <w:b/>
                <w:bCs/>
                <w:color w:val="000000"/>
                <w:sz w:val="19"/>
              </w:rPr>
              <w:t xml:space="preserve">Total Formal Articles</w:t>
            </w:r>
          </w:p>
        </w:tc>
        <w:tc>
          <w:tcPr/>
          <w:p>
            <w:pPr>
              <w:pStyle w:val="Compact"/>
              <w:spacing w:after="40" w:line="288" w:lineRule="auto"/>
            </w:pPr>
          </w:p>
        </w:tc>
        <w:tc>
          <w:tcPr/>
          <w:p>
            <w:pPr>
              <w:pStyle w:val="Compact"/>
              <w:spacing w:after="40" w:line="288" w:lineRule="auto"/>
              <w:jc w:val="left"/>
            </w:pPr>
            <w:r>
              <w:rPr>
                <w:rFonts w:ascii="DejaVu Serif" w:hAnsi="DejaVu Serif" w:eastAsia="Noto Sans CJK SC"/>
                <w:b/>
                <w:bCs/>
                <w:color w:val="000000"/>
                <w:sz w:val="19"/>
              </w:rPr>
              <w:t xml:space="preserve">254 Articles</w:t>
            </w:r>
          </w:p>
        </w:tc>
      </w:tr>
      <w:tr>
        <w:tc>
          <w:tcPr/>
          <w:p>
            <w:pPr>
              <w:pStyle w:val="Compact"/>
              <w:spacing w:after="40" w:line="288" w:lineRule="auto"/>
              <w:jc w:val="left"/>
            </w:pPr>
            <w:r>
              <w:rPr>
                <w:rFonts w:ascii="DejaVu Serif" w:hAnsi="DejaVu Serif" w:eastAsia="Noto Sans CJK SC"/>
                <w:color w:val="000000"/>
                <w:sz w:val="19"/>
              </w:rPr>
              <w:t xml:space="preserve">Part IV</w:t>
            </w:r>
          </w:p>
        </w:tc>
        <w:tc>
          <w:tcPr/>
          <w:p>
            <w:pPr>
              <w:pStyle w:val="Compact"/>
              <w:spacing w:after="40" w:line="288" w:lineRule="auto"/>
              <w:jc w:val="left"/>
            </w:pPr>
            <w:r>
              <w:rPr>
                <w:rFonts w:ascii="DejaVu Serif" w:hAnsi="DejaVu Serif" w:eastAsia="Noto Sans CJK SC"/>
                <w:color w:val="000000"/>
                <w:sz w:val="19"/>
              </w:rPr>
              <w:t xml:space="preserve">Annex System</w:t>
            </w:r>
          </w:p>
        </w:tc>
        <w:tc>
          <w:tcPr/>
          <w:p>
            <w:pPr>
              <w:pStyle w:val="Compact"/>
              <w:spacing w:after="40" w:line="288" w:lineRule="auto"/>
              <w:jc w:val="left"/>
            </w:pPr>
            <w:r>
              <w:rPr>
                <w:rFonts w:ascii="DejaVu Serif" w:hAnsi="DejaVu Serif" w:eastAsia="Noto Sans CJK SC"/>
                <w:color w:val="000000"/>
                <w:sz w:val="19"/>
              </w:rPr>
              <w:t xml:space="preserve">3 major categories (14 sub-folders + 1 folder + 3 independent files)</w:t>
            </w:r>
          </w:p>
        </w:tc>
        <w:tc>
          <w:tcPr/>
          <w:p>
            <w:pPr>
              <w:pStyle w:val="Compact"/>
              <w:spacing w:after="40" w:line="288" w:lineRule="auto"/>
              <w:jc w:val="left"/>
            </w:pPr>
            <w:r>
              <w:rPr>
                <w:rFonts w:ascii="DejaVu Serif" w:hAnsi="DejaVu Serif" w:eastAsia="Noto Sans CJK SC"/>
                <w:b/>
                <w:bCs/>
                <w:color w:val="000000"/>
                <w:sz w:val="19"/>
              </w:rPr>
              <w:t xml:space="preserve">Not counted as formal articles</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327"/>
    <w:bookmarkStart w:id="328" w:name="X4f79b3b372f034be147750fde4000a99deeeecd"/>
    <w:p>
      <w:pPr>
        <w:pStyle w:val="Heading1"/>
        <w:spacing w:after="240" w:line="312" w:lineRule="auto"/>
        <w:jc w:val="center"/>
      </w:pPr>
      <w:r>
        <w:rPr>
          <w:rFonts w:ascii="DejaVu Serif" w:hAnsi="DejaVu Serif" w:eastAsia="Noto Serif CJK SC"/>
          <w:color w:val="000000"/>
          <w:sz w:val="34"/>
        </w:rPr>
        <w:t xml:space="preserve">General Principles on System Validity and Conflict Resolution</w:t>
      </w:r>
    </w:p>
    <w:p>
      <w:pPr>
        <w:pStyle w:val="FirstParagraph"/>
        <w:spacing w:after="120" w:line="312" w:lineRule="auto"/>
      </w:pPr>
      <w:r>
        <w:rPr>
          <w:rFonts w:ascii="DejaVu Serif" w:hAnsi="DejaVu Serif" w:eastAsia="Noto Serif CJK SC"/>
          <w:b/>
          <w:bCs/>
          <w:color w:val="000000"/>
          <w:sz w:val="22"/>
        </w:rPr>
        <w:t xml:space="preserve">1. Hierarchy of Validity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 All formal documents (Main Charter, Amendments, Annexes) have equal mandatory force, collectively constituting a single normative system</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 Annexes are of filing/archiving/reference nature and do not have mandatory force of formal articles</w:t>
      </w:r>
    </w:p>
    <w:p>
      <w:pPr>
        <w:pStyle w:val="BodyText"/>
        <w:spacing w:after="120" w:line="312" w:lineRule="auto"/>
      </w:pPr>
      <w:r>
        <w:rPr>
          <w:rFonts w:ascii="DejaVu Serif" w:hAnsi="DejaVu Serif" w:eastAsia="Noto Serif CJK SC"/>
          <w:b/>
          <w:bCs/>
          <w:color w:val="000000"/>
          <w:sz w:val="22"/>
        </w:rPr>
        <w:t xml:space="preserve">2. Conflict Resolution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 Within the formal system: Follow the principle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new provisions prevail over old provisions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special provisions prevail over general provisions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 Cross-system (Annexes vs. Formal System): The Main Charter, Amendments, and Annexes shall prevail</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 Within Annexes: More recent filings prevail over older ones</w:t>
      </w:r>
    </w:p>
    <w:p>
      <w:pPr>
        <w:pStyle w:val="BodyText"/>
        <w:spacing w:after="120" w:line="312" w:lineRule="auto"/>
      </w:pPr>
      <w:r>
        <w:rPr>
          <w:rFonts w:ascii="DejaVu Serif" w:hAnsi="DejaVu Serif" w:eastAsia="Noto Serif CJK SC"/>
          <w:b/>
          <w:bCs/>
          <w:color w:val="000000"/>
          <w:sz w:val="22"/>
        </w:rPr>
        <w:t xml:space="preserve">3. Right of Interpretation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 The ultimate right of interpretation of the system belongs to the Charter-Maker</w:t>
      </w:r>
    </w:p>
    <w:p>
      <w:pPr>
        <w:spacing w:after="120" w:line="312" w:lineRule="auto"/>
      </w:pPr>
      <w:r>
        <w:rPr>
          <w:rFonts w:ascii="DejaVu Serif" w:hAnsi="DejaVu Serif" w:eastAsia="Noto Serif CJK SC"/>
          <w:color w:val="000000"/>
          <w:sz w:val="22"/>
        </w:rPr>
        <w:pict>
          <v:rect style="width:0;height:1.5pt" o:hralign="center" o:hrstd="t" o:hr="t"/>
        </w:pict>
      </w:r>
    </w:p>
    <w:p>
      <w:pPr>
        <w:pStyle w:val="FirstParagraph"/>
        <w:spacing w:after="120" w:line="312" w:lineRule="auto"/>
      </w:pPr>
      <w:r>
        <w:rPr>
          <w:rFonts w:ascii="DejaVu Serif" w:hAnsi="DejaVu Serif" w:eastAsia="Noto Serif CJK SC"/>
          <w:i/>
          <w:iCs/>
          <w:color w:val="000000"/>
          <w:sz w:val="22"/>
        </w:rPr>
        <w:t xml:space="preserve">This directory is the complete system comprehensive index of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Charter of Life Action</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as of July 5, 2026. The system is continuously evolving and being filed.</w:t>
      </w:r>
    </w:p>
    <w:p>
      <w:pPr>
        <w:pStyle w:val="BodyText"/>
        <w:spacing w:after="120" w:line="312" w:lineRule="auto"/>
      </w:pPr>
      <w:r>
        <w:rPr>
          <w:rFonts w:ascii="DejaVu Serif" w:hAnsi="DejaVu Serif" w:eastAsia="Noto Serif CJK SC"/>
          <w:i/>
          <w:iCs/>
          <w:color w:val="000000"/>
          <w:sz w:val="22"/>
        </w:rPr>
        <w:t xml:space="preserve">Date of Generation: July 5, 2026</w:t>
      </w:r>
    </w:p>
    <w:p>
      <w:pPr>
        <w:spacing w:after="120" w:line="312" w:lineRule="auto"/>
      </w:pPr>
      <w:r>
        <w:rPr>
          <w:rFonts w:ascii="DejaVu Serif" w:hAnsi="DejaVu Serif" w:eastAsia="Noto Serif CJK SC"/>
          <w:color w:val="000000"/>
          <w:sz w:val="22"/>
        </w:rPr>
        <w:pict>
          <v:rect style="width:0;height:1.5pt" o:hralign="center" o:hrstd="t" o:hr="t"/>
        </w:pict>
      </w:r>
    </w:p>
    <w:p>
      <w:pPr>
        <w:pStyle w:val="FirstParagraph"/>
        <w:spacing w:after="120" w:line="312" w:lineRule="auto"/>
      </w:pPr>
      <w:r>
        <w:rPr>
          <w:rFonts w:ascii="DejaVu Serif" w:hAnsi="DejaVu Serif" w:eastAsia="Noto Serif CJK SC"/>
          <w:b/>
          <w:bCs/>
          <w:color w:val="000000"/>
          <w:sz w:val="22"/>
        </w:rPr>
        <w:t xml:space="preserve">(End of Volume)</w:t>
      </w:r>
    </w:p>
    <w:bookmarkEnd w:id="328"/>
    <w:sectPr>
      <w:footerReference w:type="default" r:id="rId9"/>
      <w:pgSz w:w="11906" w:h="16838"/>
      <w:pgMar w:top="1247" w:bottom="1247" w:left="1361" w:right="136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DejaVu Serif" w:hAnsi="DejaVu Serif" w:eastAsia="Noto Sans CJK SC"/>
        <w:color w:val="000000"/>
        <w:sz w:val="18"/>
      </w:rPr>
    </w:r>
    <w:fldSimple w:instr="PAG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612">
    <w:nsid w:val="00A99612"/>
    <w:multiLevelType w:val="multilevel"/>
    <w:lvl w:ilvl="0">
      <w:start w:val="2"/>
      <w:numFmt w:val="upperRoman"/>
      <w:lvlText w:val="%1."/>
      <w:lvlJc w:val="left"/>
      <w:pPr>
        <w:ind w:left="720" w:hanging="480"/>
      </w:pPr>
    </w:lvl>
    <w:lvl w:ilvl="1">
      <w:start w:val="2"/>
      <w:numFmt w:val="upperRoman"/>
      <w:lvlText w:val="%2."/>
      <w:lvlJc w:val="left"/>
      <w:pPr>
        <w:ind w:left="1440" w:hanging="480"/>
      </w:pPr>
    </w:lvl>
    <w:lvl w:ilvl="2">
      <w:start w:val="2"/>
      <w:numFmt w:val="upperRoman"/>
      <w:lvlText w:val="%3."/>
      <w:lvlJc w:val="left"/>
      <w:pPr>
        <w:ind w:left="2160" w:hanging="480"/>
      </w:pPr>
    </w:lvl>
    <w:lvl w:ilvl="3">
      <w:start w:val="2"/>
      <w:numFmt w:val="upperRoman"/>
      <w:lvlText w:val="%4."/>
      <w:lvlJc w:val="left"/>
      <w:pPr>
        <w:ind w:left="2880" w:hanging="480"/>
      </w:pPr>
    </w:lvl>
    <w:lvl w:ilvl="4">
      <w:start w:val="2"/>
      <w:numFmt w:val="upperRoman"/>
      <w:lvlText w:val="%5."/>
      <w:lvlJc w:val="left"/>
      <w:pPr>
        <w:ind w:left="3600" w:hanging="480"/>
      </w:pPr>
    </w:lvl>
    <w:lvl w:ilvl="5">
      <w:start w:val="2"/>
      <w:numFmt w:val="upperRoman"/>
      <w:lvlText w:val="%6."/>
      <w:lvlJc w:val="left"/>
      <w:pPr>
        <w:ind w:left="4320" w:hanging="480"/>
      </w:pPr>
    </w:lvl>
    <w:lvl w:ilvl="6">
      <w:start w:val="2"/>
      <w:numFmt w:val="upperRoman"/>
      <w:lvlText w:val="%7."/>
      <w:lvlJc w:val="left"/>
      <w:pPr>
        <w:ind w:left="5040" w:hanging="480"/>
      </w:pPr>
    </w:lvl>
    <w:lvl w:ilvl="7">
      <w:start w:val="2"/>
      <w:numFmt w:val="upperRoman"/>
      <w:lvlText w:val="%8."/>
      <w:lvlJc w:val="left"/>
      <w:pPr>
        <w:ind w:left="5760" w:hanging="480"/>
      </w:pPr>
    </w:lvl>
    <w:lvl w:ilvl="8">
      <w:start w:val="2"/>
      <w:numFmt w:val="upperRoman"/>
      <w:lvlText w:val="%9."/>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613">
    <w:nsid w:val="00A99613"/>
    <w:multiLevelType w:val="multilevel"/>
    <w:lvl w:ilvl="0">
      <w:start w:val="3"/>
      <w:numFmt w:val="upperRoman"/>
      <w:lvlText w:val="%1."/>
      <w:lvlJc w:val="left"/>
      <w:pPr>
        <w:ind w:left="720" w:hanging="480"/>
      </w:pPr>
    </w:lvl>
    <w:lvl w:ilvl="1">
      <w:start w:val="3"/>
      <w:numFmt w:val="upperRoman"/>
      <w:lvlText w:val="%2."/>
      <w:lvlJc w:val="left"/>
      <w:pPr>
        <w:ind w:left="1440" w:hanging="480"/>
      </w:pPr>
    </w:lvl>
    <w:lvl w:ilvl="2">
      <w:start w:val="3"/>
      <w:numFmt w:val="upperRoman"/>
      <w:lvlText w:val="%3."/>
      <w:lvlJc w:val="left"/>
      <w:pPr>
        <w:ind w:left="2160" w:hanging="480"/>
      </w:pPr>
    </w:lvl>
    <w:lvl w:ilvl="3">
      <w:start w:val="3"/>
      <w:numFmt w:val="upperRoman"/>
      <w:lvlText w:val="%4."/>
      <w:lvlJc w:val="left"/>
      <w:pPr>
        <w:ind w:left="2880" w:hanging="480"/>
      </w:pPr>
    </w:lvl>
    <w:lvl w:ilvl="4">
      <w:start w:val="3"/>
      <w:numFmt w:val="upperRoman"/>
      <w:lvlText w:val="%5."/>
      <w:lvlJc w:val="left"/>
      <w:pPr>
        <w:ind w:left="3600" w:hanging="480"/>
      </w:pPr>
    </w:lvl>
    <w:lvl w:ilvl="5">
      <w:start w:val="3"/>
      <w:numFmt w:val="upperRoman"/>
      <w:lvlText w:val="%6."/>
      <w:lvlJc w:val="left"/>
      <w:pPr>
        <w:ind w:left="4320" w:hanging="480"/>
      </w:pPr>
    </w:lvl>
    <w:lvl w:ilvl="6">
      <w:start w:val="3"/>
      <w:numFmt w:val="upperRoman"/>
      <w:lvlText w:val="%7."/>
      <w:lvlJc w:val="left"/>
      <w:pPr>
        <w:ind w:left="5040" w:hanging="480"/>
      </w:pPr>
    </w:lvl>
    <w:lvl w:ilvl="7">
      <w:start w:val="3"/>
      <w:numFmt w:val="upperRoman"/>
      <w:lvlText w:val="%8."/>
      <w:lvlJc w:val="left"/>
      <w:pPr>
        <w:ind w:left="5760" w:hanging="480"/>
      </w:pPr>
    </w:lvl>
    <w:lvl w:ilvl="8">
      <w:start w:val="3"/>
      <w:numFmt w:val="upperRoman"/>
      <w:lvlText w:val="%9."/>
      <w:lvlJc w:val="left"/>
      <w:pPr>
        <w:ind w:left="6480" w:hanging="480"/>
      </w:pPr>
    </w:lvl>
  </w:abstractNum>
  <w:abstractNum w:abstractNumId="99616">
    <w:nsid w:val="00A99616"/>
    <w:multiLevelType w:val="multilevel"/>
    <w:lvl w:ilvl="0">
      <w:start w:val="6"/>
      <w:numFmt w:val="upperRoman"/>
      <w:lvlText w:val="%1."/>
      <w:lvlJc w:val="left"/>
      <w:pPr>
        <w:ind w:left="720" w:hanging="480"/>
      </w:pPr>
    </w:lvl>
    <w:lvl w:ilvl="1">
      <w:start w:val="6"/>
      <w:numFmt w:val="upperRoman"/>
      <w:lvlText w:val="%2."/>
      <w:lvlJc w:val="left"/>
      <w:pPr>
        <w:ind w:left="1440" w:hanging="480"/>
      </w:pPr>
    </w:lvl>
    <w:lvl w:ilvl="2">
      <w:start w:val="6"/>
      <w:numFmt w:val="upperRoman"/>
      <w:lvlText w:val="%3."/>
      <w:lvlJc w:val="left"/>
      <w:pPr>
        <w:ind w:left="2160" w:hanging="480"/>
      </w:pPr>
    </w:lvl>
    <w:lvl w:ilvl="3">
      <w:start w:val="6"/>
      <w:numFmt w:val="upperRoman"/>
      <w:lvlText w:val="%4."/>
      <w:lvlJc w:val="left"/>
      <w:pPr>
        <w:ind w:left="2880" w:hanging="480"/>
      </w:pPr>
    </w:lvl>
    <w:lvl w:ilvl="4">
      <w:start w:val="6"/>
      <w:numFmt w:val="upperRoman"/>
      <w:lvlText w:val="%5."/>
      <w:lvlJc w:val="left"/>
      <w:pPr>
        <w:ind w:left="3600" w:hanging="480"/>
      </w:pPr>
    </w:lvl>
    <w:lvl w:ilvl="5">
      <w:start w:val="6"/>
      <w:numFmt w:val="upperRoman"/>
      <w:lvlText w:val="%6."/>
      <w:lvlJc w:val="left"/>
      <w:pPr>
        <w:ind w:left="4320" w:hanging="480"/>
      </w:pPr>
    </w:lvl>
    <w:lvl w:ilvl="6">
      <w:start w:val="6"/>
      <w:numFmt w:val="upperRoman"/>
      <w:lvlText w:val="%7."/>
      <w:lvlJc w:val="left"/>
      <w:pPr>
        <w:ind w:left="5040" w:hanging="480"/>
      </w:pPr>
    </w:lvl>
    <w:lvl w:ilvl="7">
      <w:start w:val="6"/>
      <w:numFmt w:val="upperRoman"/>
      <w:lvlText w:val="%8."/>
      <w:lvlJc w:val="left"/>
      <w:pPr>
        <w:ind w:left="5760" w:hanging="480"/>
      </w:pPr>
    </w:lvl>
    <w:lvl w:ilvl="8">
      <w:start w:val="6"/>
      <w:numFmt w:val="upperRoman"/>
      <w:lvlText w:val="%9."/>
      <w:lvlJc w:val="left"/>
      <w:pPr>
        <w:ind w:left="6480" w:hanging="480"/>
      </w:pPr>
    </w:lvl>
  </w:abstractNum>
  <w:abstractNum w:abstractNumId="99436">
    <w:nsid w:val="00A99436"/>
    <w:multiLevelType w:val="multilevel"/>
    <w:lvl w:ilvl="0">
      <w:start w:val="6"/>
      <w:numFmt w:val="decimal"/>
      <w:lvlText w:val="(%1)"/>
      <w:lvlJc w:val="left"/>
      <w:pPr>
        <w:ind w:left="720" w:hanging="480"/>
      </w:pPr>
    </w:lvl>
    <w:lvl w:ilvl="1">
      <w:start w:val="6"/>
      <w:numFmt w:val="decimal"/>
      <w:lvlText w:val="(%2)"/>
      <w:lvlJc w:val="left"/>
      <w:pPr>
        <w:ind w:left="1440" w:hanging="480"/>
      </w:pPr>
    </w:lvl>
    <w:lvl w:ilvl="2">
      <w:start w:val="6"/>
      <w:numFmt w:val="decimal"/>
      <w:lvlText w:val="(%3)"/>
      <w:lvlJc w:val="left"/>
      <w:pPr>
        <w:ind w:left="2160" w:hanging="480"/>
      </w:pPr>
    </w:lvl>
    <w:lvl w:ilvl="3">
      <w:start w:val="6"/>
      <w:numFmt w:val="decimal"/>
      <w:lvlText w:val="(%4)"/>
      <w:lvlJc w:val="left"/>
      <w:pPr>
        <w:ind w:left="2880" w:hanging="480"/>
      </w:pPr>
    </w:lvl>
    <w:lvl w:ilvl="4">
      <w:start w:val="6"/>
      <w:numFmt w:val="decimal"/>
      <w:lvlText w:val="(%5)"/>
      <w:lvlJc w:val="left"/>
      <w:pPr>
        <w:ind w:left="3600" w:hanging="480"/>
      </w:pPr>
    </w:lvl>
    <w:lvl w:ilvl="5">
      <w:start w:val="6"/>
      <w:numFmt w:val="decimal"/>
      <w:lvlText w:val="(%6)"/>
      <w:lvlJc w:val="left"/>
      <w:pPr>
        <w:ind w:left="4320" w:hanging="480"/>
      </w:pPr>
    </w:lvl>
    <w:lvl w:ilvl="6">
      <w:start w:val="6"/>
      <w:numFmt w:val="decimal"/>
      <w:lvlText w:val="(%7)"/>
      <w:lvlJc w:val="left"/>
      <w:pPr>
        <w:ind w:left="5040" w:hanging="480"/>
      </w:pPr>
    </w:lvl>
    <w:lvl w:ilvl="7">
      <w:start w:val="6"/>
      <w:numFmt w:val="decimal"/>
      <w:lvlText w:val="(%8)"/>
      <w:lvlJc w:val="left"/>
      <w:pPr>
        <w:ind w:left="5760" w:hanging="480"/>
      </w:pPr>
    </w:lvl>
    <w:lvl w:ilvl="8">
      <w:start w:val="6"/>
      <w:numFmt w:val="decimal"/>
      <w:lvlText w:val="(%9)"/>
      <w:lvlJc w:val="left"/>
      <w:pPr>
        <w:ind w:left="6480" w:hanging="480"/>
      </w:pPr>
    </w:lvl>
  </w:abstractNum>
  <w:abstractNum w:abstractNumId="994320">
    <w:nsid w:val="0A994320"/>
    <w:multiLevelType w:val="multilevel"/>
    <w:lvl w:ilvl="0">
      <w:start w:val="20"/>
      <w:numFmt w:val="decimal"/>
      <w:lvlText w:val="(%1)"/>
      <w:lvlJc w:val="left"/>
      <w:pPr>
        <w:ind w:left="720" w:hanging="480"/>
      </w:pPr>
    </w:lvl>
    <w:lvl w:ilvl="1">
      <w:start w:val="20"/>
      <w:numFmt w:val="decimal"/>
      <w:lvlText w:val="(%2)"/>
      <w:lvlJc w:val="left"/>
      <w:pPr>
        <w:ind w:left="1440" w:hanging="480"/>
      </w:pPr>
    </w:lvl>
    <w:lvl w:ilvl="2">
      <w:start w:val="20"/>
      <w:numFmt w:val="decimal"/>
      <w:lvlText w:val="(%3)"/>
      <w:lvlJc w:val="left"/>
      <w:pPr>
        <w:ind w:left="2160" w:hanging="480"/>
      </w:pPr>
    </w:lvl>
    <w:lvl w:ilvl="3">
      <w:start w:val="20"/>
      <w:numFmt w:val="decimal"/>
      <w:lvlText w:val="(%4)"/>
      <w:lvlJc w:val="left"/>
      <w:pPr>
        <w:ind w:left="2880" w:hanging="480"/>
      </w:pPr>
    </w:lvl>
    <w:lvl w:ilvl="4">
      <w:start w:val="20"/>
      <w:numFmt w:val="decimal"/>
      <w:lvlText w:val="(%5)"/>
      <w:lvlJc w:val="left"/>
      <w:pPr>
        <w:ind w:left="3600" w:hanging="480"/>
      </w:pPr>
    </w:lvl>
    <w:lvl w:ilvl="5">
      <w:start w:val="20"/>
      <w:numFmt w:val="decimal"/>
      <w:lvlText w:val="(%6)"/>
      <w:lvlJc w:val="left"/>
      <w:pPr>
        <w:ind w:left="4320" w:hanging="480"/>
      </w:pPr>
    </w:lvl>
    <w:lvl w:ilvl="6">
      <w:start w:val="20"/>
      <w:numFmt w:val="decimal"/>
      <w:lvlText w:val="(%7)"/>
      <w:lvlJc w:val="left"/>
      <w:pPr>
        <w:ind w:left="5040" w:hanging="480"/>
      </w:pPr>
    </w:lvl>
    <w:lvl w:ilvl="7">
      <w:start w:val="20"/>
      <w:numFmt w:val="decimal"/>
      <w:lvlText w:val="(%8)"/>
      <w:lvlJc w:val="left"/>
      <w:pPr>
        <w:ind w:left="5760" w:hanging="480"/>
      </w:pPr>
    </w:lvl>
    <w:lvl w:ilvl="8">
      <w:start w:val="20"/>
      <w:numFmt w:val="decimal"/>
      <w:lvlText w:val="(%9)"/>
      <w:lvlJc w:val="left"/>
      <w:pPr>
        <w:ind w:left="6480" w:hanging="480"/>
      </w:pPr>
    </w:lvl>
  </w:abstractNum>
  <w:abstractNum w:abstractNumId="99433">
    <w:nsid w:val="00A99433"/>
    <w:multiLevelType w:val="multilevel"/>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99424">
    <w:nsid w:val="00A99424"/>
    <w:multiLevelType w:val="multilevel"/>
    <w:lvl w:ilvl="0">
      <w:start w:val="4"/>
      <w:numFmt w:val="decimal"/>
      <w:lvlText w:val="%1)"/>
      <w:lvlJc w:val="left"/>
      <w:pPr>
        <w:ind w:left="720" w:hanging="480"/>
      </w:pPr>
    </w:lvl>
    <w:lvl w:ilvl="1">
      <w:start w:val="4"/>
      <w:numFmt w:val="decimal"/>
      <w:lvlText w:val="%2)"/>
      <w:lvlJc w:val="left"/>
      <w:pPr>
        <w:ind w:left="1440" w:hanging="480"/>
      </w:pPr>
    </w:lvl>
    <w:lvl w:ilvl="2">
      <w:start w:val="4"/>
      <w:numFmt w:val="decimal"/>
      <w:lvlText w:val="%3)"/>
      <w:lvlJc w:val="left"/>
      <w:pPr>
        <w:ind w:left="2160" w:hanging="480"/>
      </w:pPr>
    </w:lvl>
    <w:lvl w:ilvl="3">
      <w:start w:val="4"/>
      <w:numFmt w:val="decimal"/>
      <w:lvlText w:val="%4)"/>
      <w:lvlJc w:val="left"/>
      <w:pPr>
        <w:ind w:left="2880" w:hanging="480"/>
      </w:pPr>
    </w:lvl>
    <w:lvl w:ilvl="4">
      <w:start w:val="4"/>
      <w:numFmt w:val="decimal"/>
      <w:lvlText w:val="%5)"/>
      <w:lvlJc w:val="left"/>
      <w:pPr>
        <w:ind w:left="3600" w:hanging="480"/>
      </w:pPr>
    </w:lvl>
    <w:lvl w:ilvl="5">
      <w:start w:val="4"/>
      <w:numFmt w:val="decimal"/>
      <w:lvlText w:val="%6)"/>
      <w:lvlJc w:val="left"/>
      <w:pPr>
        <w:ind w:left="4320" w:hanging="480"/>
      </w:pPr>
    </w:lvl>
    <w:lvl w:ilvl="6">
      <w:start w:val="4"/>
      <w:numFmt w:val="decimal"/>
      <w:lvlText w:val="%7)"/>
      <w:lvlJc w:val="left"/>
      <w:pPr>
        <w:ind w:left="5040" w:hanging="480"/>
      </w:pPr>
    </w:lvl>
    <w:lvl w:ilvl="7">
      <w:start w:val="4"/>
      <w:numFmt w:val="decimal"/>
      <w:lvlText w:val="%8)"/>
      <w:lvlJc w:val="left"/>
      <w:pPr>
        <w:ind w:left="5760" w:hanging="480"/>
      </w:pPr>
    </w:lvl>
    <w:lvl w:ilvl="8">
      <w:start w:val="4"/>
      <w:numFmt w:val="decimal"/>
      <w:lvlText w:val="%9)"/>
      <w:lvlJc w:val="left"/>
      <w:pPr>
        <w:ind w:left="6480" w:hanging="480"/>
      </w:pPr>
    </w:lvl>
  </w:abstractNum>
  <w:abstractNum w:abstractNumId="99431">
    <w:nsid w:val="00A9943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4324">
    <w:nsid w:val="0A994324"/>
    <w:multiLevelType w:val="multilevel"/>
    <w:lvl w:ilvl="0">
      <w:start w:val="24"/>
      <w:numFmt w:val="decimal"/>
      <w:lvlText w:val="(%1)"/>
      <w:lvlJc w:val="left"/>
      <w:pPr>
        <w:ind w:left="720" w:hanging="480"/>
      </w:pPr>
    </w:lvl>
    <w:lvl w:ilvl="1">
      <w:start w:val="24"/>
      <w:numFmt w:val="decimal"/>
      <w:lvlText w:val="(%2)"/>
      <w:lvlJc w:val="left"/>
      <w:pPr>
        <w:ind w:left="1440" w:hanging="480"/>
      </w:pPr>
    </w:lvl>
    <w:lvl w:ilvl="2">
      <w:start w:val="24"/>
      <w:numFmt w:val="decimal"/>
      <w:lvlText w:val="(%3)"/>
      <w:lvlJc w:val="left"/>
      <w:pPr>
        <w:ind w:left="2160" w:hanging="480"/>
      </w:pPr>
    </w:lvl>
    <w:lvl w:ilvl="3">
      <w:start w:val="24"/>
      <w:numFmt w:val="decimal"/>
      <w:lvlText w:val="(%4)"/>
      <w:lvlJc w:val="left"/>
      <w:pPr>
        <w:ind w:left="2880" w:hanging="480"/>
      </w:pPr>
    </w:lvl>
    <w:lvl w:ilvl="4">
      <w:start w:val="24"/>
      <w:numFmt w:val="decimal"/>
      <w:lvlText w:val="(%5)"/>
      <w:lvlJc w:val="left"/>
      <w:pPr>
        <w:ind w:left="3600" w:hanging="480"/>
      </w:pPr>
    </w:lvl>
    <w:lvl w:ilvl="5">
      <w:start w:val="24"/>
      <w:numFmt w:val="decimal"/>
      <w:lvlText w:val="(%6)"/>
      <w:lvlJc w:val="left"/>
      <w:pPr>
        <w:ind w:left="4320" w:hanging="480"/>
      </w:pPr>
    </w:lvl>
    <w:lvl w:ilvl="6">
      <w:start w:val="24"/>
      <w:numFmt w:val="decimal"/>
      <w:lvlText w:val="(%7)"/>
      <w:lvlJc w:val="left"/>
      <w:pPr>
        <w:ind w:left="5040" w:hanging="480"/>
      </w:pPr>
    </w:lvl>
    <w:lvl w:ilvl="7">
      <w:start w:val="24"/>
      <w:numFmt w:val="decimal"/>
      <w:lvlText w:val="(%8)"/>
      <w:lvlJc w:val="left"/>
      <w:pPr>
        <w:ind w:left="5760" w:hanging="480"/>
      </w:pPr>
    </w:lvl>
    <w:lvl w:ilvl="8">
      <w:start w:val="24"/>
      <w:numFmt w:val="decimal"/>
      <w:lvlText w:val="(%9)"/>
      <w:lvlJc w:val="left"/>
      <w:pPr>
        <w:ind w:left="6480" w:hanging="480"/>
      </w:pPr>
    </w:lvl>
  </w:abstractNum>
  <w:abstractNum w:abstractNumId="99435">
    <w:nsid w:val="00A99435"/>
    <w:multiLevelType w:val="multilevel"/>
    <w:lvl w:ilvl="0">
      <w:start w:val="5"/>
      <w:numFmt w:val="decimal"/>
      <w:lvlText w:val="(%1)"/>
      <w:lvlJc w:val="left"/>
      <w:pPr>
        <w:ind w:left="720" w:hanging="480"/>
      </w:pPr>
    </w:lvl>
    <w:lvl w:ilvl="1">
      <w:start w:val="5"/>
      <w:numFmt w:val="decimal"/>
      <w:lvlText w:val="(%2)"/>
      <w:lvlJc w:val="left"/>
      <w:pPr>
        <w:ind w:left="1440" w:hanging="480"/>
      </w:pPr>
    </w:lvl>
    <w:lvl w:ilvl="2">
      <w:start w:val="5"/>
      <w:numFmt w:val="decimal"/>
      <w:lvlText w:val="(%3)"/>
      <w:lvlJc w:val="left"/>
      <w:pPr>
        <w:ind w:left="2160" w:hanging="480"/>
      </w:pPr>
    </w:lvl>
    <w:lvl w:ilvl="3">
      <w:start w:val="5"/>
      <w:numFmt w:val="decimal"/>
      <w:lvlText w:val="(%4)"/>
      <w:lvlJc w:val="left"/>
      <w:pPr>
        <w:ind w:left="2880" w:hanging="480"/>
      </w:pPr>
    </w:lvl>
    <w:lvl w:ilvl="4">
      <w:start w:val="5"/>
      <w:numFmt w:val="decimal"/>
      <w:lvlText w:val="(%5)"/>
      <w:lvlJc w:val="left"/>
      <w:pPr>
        <w:ind w:left="3600" w:hanging="480"/>
      </w:pPr>
    </w:lvl>
    <w:lvl w:ilvl="5">
      <w:start w:val="5"/>
      <w:numFmt w:val="decimal"/>
      <w:lvlText w:val="(%6)"/>
      <w:lvlJc w:val="left"/>
      <w:pPr>
        <w:ind w:left="4320" w:hanging="480"/>
      </w:pPr>
    </w:lvl>
    <w:lvl w:ilvl="6">
      <w:start w:val="5"/>
      <w:numFmt w:val="decimal"/>
      <w:lvlText w:val="(%7)"/>
      <w:lvlJc w:val="left"/>
      <w:pPr>
        <w:ind w:left="5040" w:hanging="480"/>
      </w:pPr>
    </w:lvl>
    <w:lvl w:ilvl="7">
      <w:start w:val="5"/>
      <w:numFmt w:val="decimal"/>
      <w:lvlText w:val="(%8)"/>
      <w:lvlJc w:val="left"/>
      <w:pPr>
        <w:ind w:left="5760" w:hanging="480"/>
      </w:pPr>
    </w:lvl>
    <w:lvl w:ilvl="8">
      <w:start w:val="5"/>
      <w:numFmt w:val="decimal"/>
      <w:lvlText w:val="(%9)"/>
      <w:lvlJc w:val="left"/>
      <w:pPr>
        <w:ind w:left="6480" w:hanging="480"/>
      </w:pPr>
    </w:lvl>
  </w:abstractNum>
  <w:abstractNum w:abstractNumId="99432">
    <w:nsid w:val="00A99432"/>
    <w:multiLevelType w:val="multilevel"/>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994333">
    <w:nsid w:val="0A994333"/>
    <w:multiLevelType w:val="multilevel"/>
    <w:lvl w:ilvl="0">
      <w:start w:val="33"/>
      <w:numFmt w:val="decimal"/>
      <w:lvlText w:val="(%1)"/>
      <w:lvlJc w:val="left"/>
      <w:pPr>
        <w:ind w:left="720" w:hanging="480"/>
      </w:pPr>
    </w:lvl>
    <w:lvl w:ilvl="1">
      <w:start w:val="33"/>
      <w:numFmt w:val="decimal"/>
      <w:lvlText w:val="(%2)"/>
      <w:lvlJc w:val="left"/>
      <w:pPr>
        <w:ind w:left="1440" w:hanging="480"/>
      </w:pPr>
    </w:lvl>
    <w:lvl w:ilvl="2">
      <w:start w:val="33"/>
      <w:numFmt w:val="decimal"/>
      <w:lvlText w:val="(%3)"/>
      <w:lvlJc w:val="left"/>
      <w:pPr>
        <w:ind w:left="2160" w:hanging="480"/>
      </w:pPr>
    </w:lvl>
    <w:lvl w:ilvl="3">
      <w:start w:val="33"/>
      <w:numFmt w:val="decimal"/>
      <w:lvlText w:val="(%4)"/>
      <w:lvlJc w:val="left"/>
      <w:pPr>
        <w:ind w:left="2880" w:hanging="480"/>
      </w:pPr>
    </w:lvl>
    <w:lvl w:ilvl="4">
      <w:start w:val="33"/>
      <w:numFmt w:val="decimal"/>
      <w:lvlText w:val="(%5)"/>
      <w:lvlJc w:val="left"/>
      <w:pPr>
        <w:ind w:left="3600" w:hanging="480"/>
      </w:pPr>
    </w:lvl>
    <w:lvl w:ilvl="5">
      <w:start w:val="33"/>
      <w:numFmt w:val="decimal"/>
      <w:lvlText w:val="(%6)"/>
      <w:lvlJc w:val="left"/>
      <w:pPr>
        <w:ind w:left="4320" w:hanging="480"/>
      </w:pPr>
    </w:lvl>
    <w:lvl w:ilvl="6">
      <w:start w:val="33"/>
      <w:numFmt w:val="decimal"/>
      <w:lvlText w:val="(%7)"/>
      <w:lvlJc w:val="left"/>
      <w:pPr>
        <w:ind w:left="5040" w:hanging="480"/>
      </w:pPr>
    </w:lvl>
    <w:lvl w:ilvl="7">
      <w:start w:val="33"/>
      <w:numFmt w:val="decimal"/>
      <w:lvlText w:val="(%8)"/>
      <w:lvlJc w:val="left"/>
      <w:pPr>
        <w:ind w:left="5760" w:hanging="480"/>
      </w:pPr>
    </w:lvl>
    <w:lvl w:ilvl="8">
      <w:start w:val="33"/>
      <w:numFmt w:val="decimal"/>
      <w:lvlText w:val="(%9)"/>
      <w:lvlJc w:val="left"/>
      <w:pPr>
        <w:ind w:left="6480" w:hanging="480"/>
      </w:pPr>
    </w:lvl>
  </w:abstractNum>
  <w:abstractNum w:abstractNumId="99437">
    <w:nsid w:val="00A99437"/>
    <w:multiLevelType w:val="multilevel"/>
    <w:lvl w:ilvl="0">
      <w:start w:val="7"/>
      <w:numFmt w:val="decimal"/>
      <w:lvlText w:val="(%1)"/>
      <w:lvlJc w:val="left"/>
      <w:pPr>
        <w:ind w:left="720" w:hanging="480"/>
      </w:pPr>
    </w:lvl>
    <w:lvl w:ilvl="1">
      <w:start w:val="7"/>
      <w:numFmt w:val="decimal"/>
      <w:lvlText w:val="(%2)"/>
      <w:lvlJc w:val="left"/>
      <w:pPr>
        <w:ind w:left="1440" w:hanging="480"/>
      </w:pPr>
    </w:lvl>
    <w:lvl w:ilvl="2">
      <w:start w:val="7"/>
      <w:numFmt w:val="decimal"/>
      <w:lvlText w:val="(%3)"/>
      <w:lvlJc w:val="left"/>
      <w:pPr>
        <w:ind w:left="2160" w:hanging="480"/>
      </w:pPr>
    </w:lvl>
    <w:lvl w:ilvl="3">
      <w:start w:val="7"/>
      <w:numFmt w:val="decimal"/>
      <w:lvlText w:val="(%4)"/>
      <w:lvlJc w:val="left"/>
      <w:pPr>
        <w:ind w:left="2880" w:hanging="480"/>
      </w:pPr>
    </w:lvl>
    <w:lvl w:ilvl="4">
      <w:start w:val="7"/>
      <w:numFmt w:val="decimal"/>
      <w:lvlText w:val="(%5)"/>
      <w:lvlJc w:val="left"/>
      <w:pPr>
        <w:ind w:left="3600" w:hanging="480"/>
      </w:pPr>
    </w:lvl>
    <w:lvl w:ilvl="5">
      <w:start w:val="7"/>
      <w:numFmt w:val="decimal"/>
      <w:lvlText w:val="(%6)"/>
      <w:lvlJc w:val="left"/>
      <w:pPr>
        <w:ind w:left="4320" w:hanging="480"/>
      </w:pPr>
    </w:lvl>
    <w:lvl w:ilvl="6">
      <w:start w:val="7"/>
      <w:numFmt w:val="decimal"/>
      <w:lvlText w:val="(%7)"/>
      <w:lvlJc w:val="left"/>
      <w:pPr>
        <w:ind w:left="5040" w:hanging="480"/>
      </w:pPr>
    </w:lvl>
    <w:lvl w:ilvl="7">
      <w:start w:val="7"/>
      <w:numFmt w:val="decimal"/>
      <w:lvlText w:val="(%8)"/>
      <w:lvlJc w:val="left"/>
      <w:pPr>
        <w:ind w:left="5760" w:hanging="480"/>
      </w:pPr>
    </w:lvl>
    <w:lvl w:ilvl="8">
      <w:start w:val="7"/>
      <w:numFmt w:val="decimal"/>
      <w:lvlText w:val="(%9)"/>
      <w:lvlJc w:val="left"/>
      <w:pPr>
        <w:ind w:left="6480" w:hanging="480"/>
      </w:pPr>
    </w:lvl>
  </w:abstractNum>
  <w:abstractNum w:abstractNumId="99731">
    <w:nsid w:val="00A9973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434">
    <w:nsid w:val="00A99434"/>
    <w:multiLevelType w:val="multilevel"/>
    <w:lvl w:ilvl="0">
      <w:start w:val="4"/>
      <w:numFmt w:val="decimal"/>
      <w:lvlText w:val="(%1)"/>
      <w:lvlJc w:val="left"/>
      <w:pPr>
        <w:ind w:left="720" w:hanging="480"/>
      </w:pPr>
    </w:lvl>
    <w:lvl w:ilvl="1">
      <w:start w:val="4"/>
      <w:numFmt w:val="decimal"/>
      <w:lvlText w:val="(%2)"/>
      <w:lvlJc w:val="left"/>
      <w:pPr>
        <w:ind w:left="1440" w:hanging="480"/>
      </w:pPr>
    </w:lvl>
    <w:lvl w:ilvl="2">
      <w:start w:val="4"/>
      <w:numFmt w:val="decimal"/>
      <w:lvlText w:val="(%3)"/>
      <w:lvlJc w:val="left"/>
      <w:pPr>
        <w:ind w:left="2160" w:hanging="480"/>
      </w:pPr>
    </w:lvl>
    <w:lvl w:ilvl="3">
      <w:start w:val="4"/>
      <w:numFmt w:val="decimal"/>
      <w:lvlText w:val="(%4)"/>
      <w:lvlJc w:val="left"/>
      <w:pPr>
        <w:ind w:left="2880" w:hanging="480"/>
      </w:pPr>
    </w:lvl>
    <w:lvl w:ilvl="4">
      <w:start w:val="4"/>
      <w:numFmt w:val="decimal"/>
      <w:lvlText w:val="(%5)"/>
      <w:lvlJc w:val="left"/>
      <w:pPr>
        <w:ind w:left="3600" w:hanging="480"/>
      </w:pPr>
    </w:lvl>
    <w:lvl w:ilvl="5">
      <w:start w:val="4"/>
      <w:numFmt w:val="decimal"/>
      <w:lvlText w:val="(%6)"/>
      <w:lvlJc w:val="left"/>
      <w:pPr>
        <w:ind w:left="4320" w:hanging="480"/>
      </w:pPr>
    </w:lvl>
    <w:lvl w:ilvl="6">
      <w:start w:val="4"/>
      <w:numFmt w:val="decimal"/>
      <w:lvlText w:val="(%7)"/>
      <w:lvlJc w:val="left"/>
      <w:pPr>
        <w:ind w:left="5040" w:hanging="480"/>
      </w:pPr>
    </w:lvl>
    <w:lvl w:ilvl="7">
      <w:start w:val="4"/>
      <w:numFmt w:val="decimal"/>
      <w:lvlText w:val="(%8)"/>
      <w:lvlJc w:val="left"/>
      <w:pPr>
        <w:ind w:left="5760" w:hanging="480"/>
      </w:pPr>
    </w:lvl>
    <w:lvl w:ilvl="8">
      <w:start w:val="4"/>
      <w:numFmt w:val="decimal"/>
      <w:lvlText w:val="(%9)"/>
      <w:lvlJc w:val="left"/>
      <w:pPr>
        <w:ind w:left="6480" w:hanging="480"/>
      </w:pPr>
    </w:lvl>
  </w:abstractNum>
  <w:abstractNum w:abstractNumId="994311">
    <w:nsid w:val="0A994311"/>
    <w:multiLevelType w:val="multilevel"/>
    <w:lvl w:ilvl="0">
      <w:start w:val="11"/>
      <w:numFmt w:val="decimal"/>
      <w:lvlText w:val="(%1)"/>
      <w:lvlJc w:val="left"/>
      <w:pPr>
        <w:ind w:left="720" w:hanging="480"/>
      </w:pPr>
    </w:lvl>
    <w:lvl w:ilvl="1">
      <w:start w:val="11"/>
      <w:numFmt w:val="decimal"/>
      <w:lvlText w:val="(%2)"/>
      <w:lvlJc w:val="left"/>
      <w:pPr>
        <w:ind w:left="1440" w:hanging="480"/>
      </w:pPr>
    </w:lvl>
    <w:lvl w:ilvl="2">
      <w:start w:val="11"/>
      <w:numFmt w:val="decimal"/>
      <w:lvlText w:val="(%3)"/>
      <w:lvlJc w:val="left"/>
      <w:pPr>
        <w:ind w:left="2160" w:hanging="480"/>
      </w:pPr>
    </w:lvl>
    <w:lvl w:ilvl="3">
      <w:start w:val="11"/>
      <w:numFmt w:val="decimal"/>
      <w:lvlText w:val="(%4)"/>
      <w:lvlJc w:val="left"/>
      <w:pPr>
        <w:ind w:left="2880" w:hanging="480"/>
      </w:pPr>
    </w:lvl>
    <w:lvl w:ilvl="4">
      <w:start w:val="11"/>
      <w:numFmt w:val="decimal"/>
      <w:lvlText w:val="(%5)"/>
      <w:lvlJc w:val="left"/>
      <w:pPr>
        <w:ind w:left="3600" w:hanging="480"/>
      </w:pPr>
    </w:lvl>
    <w:lvl w:ilvl="5">
      <w:start w:val="11"/>
      <w:numFmt w:val="decimal"/>
      <w:lvlText w:val="(%6)"/>
      <w:lvlJc w:val="left"/>
      <w:pPr>
        <w:ind w:left="4320" w:hanging="480"/>
      </w:pPr>
    </w:lvl>
    <w:lvl w:ilvl="6">
      <w:start w:val="11"/>
      <w:numFmt w:val="decimal"/>
      <w:lvlText w:val="(%7)"/>
      <w:lvlJc w:val="left"/>
      <w:pPr>
        <w:ind w:left="5040" w:hanging="480"/>
      </w:pPr>
    </w:lvl>
    <w:lvl w:ilvl="7">
      <w:start w:val="11"/>
      <w:numFmt w:val="decimal"/>
      <w:lvlText w:val="(%8)"/>
      <w:lvlJc w:val="left"/>
      <w:pPr>
        <w:ind w:left="5760" w:hanging="480"/>
      </w:pPr>
    </w:lvl>
    <w:lvl w:ilvl="8">
      <w:start w:val="11"/>
      <w:numFmt w:val="decimal"/>
      <w:lvlText w:val="(%9)"/>
      <w:lvlJc w:val="left"/>
      <w:pPr>
        <w:ind w:left="6480" w:hanging="480"/>
      </w:pPr>
    </w:lvl>
  </w:abstractNum>
  <w:abstractNum w:abstractNumId="99438">
    <w:nsid w:val="00A99438"/>
    <w:multiLevelType w:val="multilevel"/>
    <w:lvl w:ilvl="0">
      <w:start w:val="8"/>
      <w:numFmt w:val="decimal"/>
      <w:lvlText w:val="(%1)"/>
      <w:lvlJc w:val="left"/>
      <w:pPr>
        <w:ind w:left="720" w:hanging="480"/>
      </w:pPr>
    </w:lvl>
    <w:lvl w:ilvl="1">
      <w:start w:val="8"/>
      <w:numFmt w:val="decimal"/>
      <w:lvlText w:val="(%2)"/>
      <w:lvlJc w:val="left"/>
      <w:pPr>
        <w:ind w:left="1440" w:hanging="480"/>
      </w:pPr>
    </w:lvl>
    <w:lvl w:ilvl="2">
      <w:start w:val="8"/>
      <w:numFmt w:val="decimal"/>
      <w:lvlText w:val="(%3)"/>
      <w:lvlJc w:val="left"/>
      <w:pPr>
        <w:ind w:left="2160" w:hanging="480"/>
      </w:pPr>
    </w:lvl>
    <w:lvl w:ilvl="3">
      <w:start w:val="8"/>
      <w:numFmt w:val="decimal"/>
      <w:lvlText w:val="(%4)"/>
      <w:lvlJc w:val="left"/>
      <w:pPr>
        <w:ind w:left="2880" w:hanging="480"/>
      </w:pPr>
    </w:lvl>
    <w:lvl w:ilvl="4">
      <w:start w:val="8"/>
      <w:numFmt w:val="decimal"/>
      <w:lvlText w:val="(%5)"/>
      <w:lvlJc w:val="left"/>
      <w:pPr>
        <w:ind w:left="3600" w:hanging="480"/>
      </w:pPr>
    </w:lvl>
    <w:lvl w:ilvl="5">
      <w:start w:val="8"/>
      <w:numFmt w:val="decimal"/>
      <w:lvlText w:val="(%6)"/>
      <w:lvlJc w:val="left"/>
      <w:pPr>
        <w:ind w:left="4320" w:hanging="480"/>
      </w:pPr>
    </w:lvl>
    <w:lvl w:ilvl="6">
      <w:start w:val="8"/>
      <w:numFmt w:val="decimal"/>
      <w:lvlText w:val="(%7)"/>
      <w:lvlJc w:val="left"/>
      <w:pPr>
        <w:ind w:left="5040" w:hanging="480"/>
      </w:pPr>
    </w:lvl>
    <w:lvl w:ilvl="7">
      <w:start w:val="8"/>
      <w:numFmt w:val="decimal"/>
      <w:lvlText w:val="(%8)"/>
      <w:lvlJc w:val="left"/>
      <w:pPr>
        <w:ind w:left="5760" w:hanging="480"/>
      </w:pPr>
    </w:lvl>
    <w:lvl w:ilvl="8">
      <w:start w:val="8"/>
      <w:numFmt w:val="decimal"/>
      <w:lvlText w:val="(%9)"/>
      <w:lvlJc w:val="left"/>
      <w:pPr>
        <w:ind w:left="6480" w:hanging="480"/>
      </w:pPr>
    </w:lvl>
  </w:abstractNum>
  <w:abstractNum w:abstractNumId="99734">
    <w:nsid w:val="00A99734"/>
    <w:multiLevelType w:val="multilevel"/>
    <w:lvl w:ilvl="0">
      <w:start w:val="4"/>
      <w:numFmt w:val="lowerLetter"/>
      <w:lvlText w:val="(%1)"/>
      <w:lvlJc w:val="left"/>
      <w:pPr>
        <w:ind w:left="720" w:hanging="480"/>
      </w:pPr>
    </w:lvl>
    <w:lvl w:ilvl="1">
      <w:start w:val="4"/>
      <w:numFmt w:val="lowerLetter"/>
      <w:lvlText w:val="(%2)"/>
      <w:lvlJc w:val="left"/>
      <w:pPr>
        <w:ind w:left="1440" w:hanging="480"/>
      </w:pPr>
    </w:lvl>
    <w:lvl w:ilvl="2">
      <w:start w:val="4"/>
      <w:numFmt w:val="lowerLetter"/>
      <w:lvlText w:val="(%3)"/>
      <w:lvlJc w:val="left"/>
      <w:pPr>
        <w:ind w:left="2160" w:hanging="480"/>
      </w:pPr>
    </w:lvl>
    <w:lvl w:ilvl="3">
      <w:start w:val="4"/>
      <w:numFmt w:val="lowerLetter"/>
      <w:lvlText w:val="(%4)"/>
      <w:lvlJc w:val="left"/>
      <w:pPr>
        <w:ind w:left="2880" w:hanging="480"/>
      </w:pPr>
    </w:lvl>
    <w:lvl w:ilvl="4">
      <w:start w:val="4"/>
      <w:numFmt w:val="lowerLetter"/>
      <w:lvlText w:val="(%5)"/>
      <w:lvlJc w:val="left"/>
      <w:pPr>
        <w:ind w:left="3600" w:hanging="480"/>
      </w:pPr>
    </w:lvl>
    <w:lvl w:ilvl="5">
      <w:start w:val="4"/>
      <w:numFmt w:val="lowerLetter"/>
      <w:lvlText w:val="(%6)"/>
      <w:lvlJc w:val="left"/>
      <w:pPr>
        <w:ind w:left="4320" w:hanging="480"/>
      </w:pPr>
    </w:lvl>
    <w:lvl w:ilvl="6">
      <w:start w:val="4"/>
      <w:numFmt w:val="lowerLetter"/>
      <w:lvlText w:val="(%7)"/>
      <w:lvlJc w:val="left"/>
      <w:pPr>
        <w:ind w:left="5040" w:hanging="480"/>
      </w:pPr>
    </w:lvl>
    <w:lvl w:ilvl="7">
      <w:start w:val="4"/>
      <w:numFmt w:val="lowerLetter"/>
      <w:lvlText w:val="(%8)"/>
      <w:lvlJc w:val="left"/>
      <w:pPr>
        <w:ind w:left="5760" w:hanging="480"/>
      </w:pPr>
    </w:lvl>
    <w:lvl w:ilvl="8">
      <w:start w:val="4"/>
      <w:numFmt w:val="lowerLetter"/>
      <w:lvlText w:val="(%9)"/>
      <w:lvlJc w:val="left"/>
      <w:pPr>
        <w:ind w:left="6480" w:hanging="480"/>
      </w:pPr>
    </w:lvl>
  </w:abstractNum>
  <w:abstractNum w:abstractNumId="99411">
    <w:nsid w:val="00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415">
    <w:nsid w:val="00A99415"/>
    <w:multiLevelType w:val="multilevel"/>
    <w:lvl w:ilvl="0">
      <w:start w:val="5"/>
      <w:numFmt w:val="decimal"/>
      <w:lvlText w:val="%1."/>
      <w:lvlJc w:val="left"/>
      <w:pPr>
        <w:ind w:left="720" w:hanging="480"/>
      </w:pPr>
    </w:lvl>
    <w:lvl w:ilvl="1">
      <w:start w:val="5"/>
      <w:numFmt w:val="decimal"/>
      <w:lvlText w:val="%2."/>
      <w:lvlJc w:val="left"/>
      <w:pPr>
        <w:ind w:left="1440" w:hanging="480"/>
      </w:pPr>
    </w:lvl>
    <w:lvl w:ilvl="2">
      <w:start w:val="5"/>
      <w:numFmt w:val="decimal"/>
      <w:lvlText w:val="%3."/>
      <w:lvlJc w:val="left"/>
      <w:pPr>
        <w:ind w:left="2160" w:hanging="480"/>
      </w:pPr>
    </w:lvl>
    <w:lvl w:ilvl="3">
      <w:start w:val="5"/>
      <w:numFmt w:val="decimal"/>
      <w:lvlText w:val="%4."/>
      <w:lvlJc w:val="left"/>
      <w:pPr>
        <w:ind w:left="2880" w:hanging="480"/>
      </w:pPr>
    </w:lvl>
    <w:lvl w:ilvl="4">
      <w:start w:val="5"/>
      <w:numFmt w:val="decimal"/>
      <w:lvlText w:val="%5."/>
      <w:lvlJc w:val="left"/>
      <w:pPr>
        <w:ind w:left="3600" w:hanging="480"/>
      </w:pPr>
    </w:lvl>
    <w:lvl w:ilvl="5">
      <w:start w:val="5"/>
      <w:numFmt w:val="decimal"/>
      <w:lvlText w:val="%6."/>
      <w:lvlJc w:val="left"/>
      <w:pPr>
        <w:ind w:left="4320" w:hanging="480"/>
      </w:pPr>
    </w:lvl>
    <w:lvl w:ilvl="6">
      <w:start w:val="5"/>
      <w:numFmt w:val="decimal"/>
      <w:lvlText w:val="%7."/>
      <w:lvlJc w:val="left"/>
      <w:pPr>
        <w:ind w:left="5040" w:hanging="480"/>
      </w:pPr>
    </w:lvl>
    <w:lvl w:ilvl="7">
      <w:start w:val="5"/>
      <w:numFmt w:val="decimal"/>
      <w:lvlText w:val="%8."/>
      <w:lvlJc w:val="left"/>
      <w:pPr>
        <w:ind w:left="5760" w:hanging="480"/>
      </w:pPr>
    </w:lvl>
    <w:lvl w:ilvl="8">
      <w:start w:val="5"/>
      <w:numFmt w:val="decimal"/>
      <w:lvlText w:val="%9."/>
      <w:lvlJc w:val="left"/>
      <w:pPr>
        <w:ind w:left="6480" w:hanging="480"/>
      </w:pPr>
    </w:lvl>
  </w:abstractNum>
  <w:abstractNum w:abstractNumId="99416">
    <w:nsid w:val="00A99416"/>
    <w:multiLevelType w:val="multilevel"/>
    <w:lvl w:ilvl="0">
      <w:start w:val="6"/>
      <w:numFmt w:val="decimal"/>
      <w:lvlText w:val="%1."/>
      <w:lvlJc w:val="left"/>
      <w:pPr>
        <w:ind w:left="720" w:hanging="480"/>
      </w:pPr>
    </w:lvl>
    <w:lvl w:ilvl="1">
      <w:start w:val="6"/>
      <w:numFmt w:val="decimal"/>
      <w:lvlText w:val="%2."/>
      <w:lvlJc w:val="left"/>
      <w:pPr>
        <w:ind w:left="1440" w:hanging="480"/>
      </w:pPr>
    </w:lvl>
    <w:lvl w:ilvl="2">
      <w:start w:val="6"/>
      <w:numFmt w:val="decimal"/>
      <w:lvlText w:val="%3."/>
      <w:lvlJc w:val="left"/>
      <w:pPr>
        <w:ind w:left="2160" w:hanging="480"/>
      </w:pPr>
    </w:lvl>
    <w:lvl w:ilvl="3">
      <w:start w:val="6"/>
      <w:numFmt w:val="decimal"/>
      <w:lvlText w:val="%4."/>
      <w:lvlJc w:val="left"/>
      <w:pPr>
        <w:ind w:left="2880" w:hanging="480"/>
      </w:pPr>
    </w:lvl>
    <w:lvl w:ilvl="4">
      <w:start w:val="6"/>
      <w:numFmt w:val="decimal"/>
      <w:lvlText w:val="%5."/>
      <w:lvlJc w:val="left"/>
      <w:pPr>
        <w:ind w:left="3600" w:hanging="480"/>
      </w:pPr>
    </w:lvl>
    <w:lvl w:ilvl="5">
      <w:start w:val="6"/>
      <w:numFmt w:val="decimal"/>
      <w:lvlText w:val="%6."/>
      <w:lvlJc w:val="left"/>
      <w:pPr>
        <w:ind w:left="4320" w:hanging="480"/>
      </w:pPr>
    </w:lvl>
    <w:lvl w:ilvl="6">
      <w:start w:val="6"/>
      <w:numFmt w:val="decimal"/>
      <w:lvlText w:val="%7."/>
      <w:lvlJc w:val="left"/>
      <w:pPr>
        <w:ind w:left="5040" w:hanging="480"/>
      </w:pPr>
    </w:lvl>
    <w:lvl w:ilvl="7">
      <w:start w:val="6"/>
      <w:numFmt w:val="decimal"/>
      <w:lvlText w:val="%8."/>
      <w:lvlJc w:val="left"/>
      <w:pPr>
        <w:ind w:left="5760" w:hanging="480"/>
      </w:pPr>
    </w:lvl>
    <w:lvl w:ilvl="8">
      <w:start w:val="6"/>
      <w:numFmt w:val="decimal"/>
      <w:lvlText w:val="%9."/>
      <w:lvlJc w:val="left"/>
      <w:pPr>
        <w:ind w:left="6480" w:hanging="480"/>
      </w:pPr>
    </w:lvl>
  </w:abstractNum>
  <w:abstractNum w:abstractNumId="99417">
    <w:nsid w:val="00A99417"/>
    <w:multiLevelType w:val="multilevel"/>
    <w:lvl w:ilvl="0">
      <w:start w:val="7"/>
      <w:numFmt w:val="decimal"/>
      <w:lvlText w:val="%1."/>
      <w:lvlJc w:val="left"/>
      <w:pPr>
        <w:ind w:left="720" w:hanging="480"/>
      </w:pPr>
    </w:lvl>
    <w:lvl w:ilvl="1">
      <w:start w:val="7"/>
      <w:numFmt w:val="decimal"/>
      <w:lvlText w:val="%2."/>
      <w:lvlJc w:val="left"/>
      <w:pPr>
        <w:ind w:left="1440" w:hanging="480"/>
      </w:pPr>
    </w:lvl>
    <w:lvl w:ilvl="2">
      <w:start w:val="7"/>
      <w:numFmt w:val="decimal"/>
      <w:lvlText w:val="%3."/>
      <w:lvlJc w:val="left"/>
      <w:pPr>
        <w:ind w:left="2160" w:hanging="480"/>
      </w:pPr>
    </w:lvl>
    <w:lvl w:ilvl="3">
      <w:start w:val="7"/>
      <w:numFmt w:val="decimal"/>
      <w:lvlText w:val="%4."/>
      <w:lvlJc w:val="left"/>
      <w:pPr>
        <w:ind w:left="2880" w:hanging="480"/>
      </w:pPr>
    </w:lvl>
    <w:lvl w:ilvl="4">
      <w:start w:val="7"/>
      <w:numFmt w:val="decimal"/>
      <w:lvlText w:val="%5."/>
      <w:lvlJc w:val="left"/>
      <w:pPr>
        <w:ind w:left="3600" w:hanging="480"/>
      </w:pPr>
    </w:lvl>
    <w:lvl w:ilvl="5">
      <w:start w:val="7"/>
      <w:numFmt w:val="decimal"/>
      <w:lvlText w:val="%6."/>
      <w:lvlJc w:val="left"/>
      <w:pPr>
        <w:ind w:left="4320" w:hanging="480"/>
      </w:pPr>
    </w:lvl>
    <w:lvl w:ilvl="6">
      <w:start w:val="7"/>
      <w:numFmt w:val="decimal"/>
      <w:lvlText w:val="%7."/>
      <w:lvlJc w:val="left"/>
      <w:pPr>
        <w:ind w:left="5040" w:hanging="480"/>
      </w:pPr>
    </w:lvl>
    <w:lvl w:ilvl="7">
      <w:start w:val="7"/>
      <w:numFmt w:val="decimal"/>
      <w:lvlText w:val="%8."/>
      <w:lvlJc w:val="left"/>
      <w:pPr>
        <w:ind w:left="5760" w:hanging="480"/>
      </w:pPr>
    </w:lvl>
    <w:lvl w:ilvl="8">
      <w:start w:val="7"/>
      <w:numFmt w:val="decimal"/>
      <w:lvlText w:val="%9."/>
      <w:lvlJc w:val="left"/>
      <w:pPr>
        <w:ind w:left="6480" w:hanging="480"/>
      </w:pPr>
    </w:lvl>
  </w:abstractNum>
  <w:abstractNum w:abstractNumId="994130">
    <w:nsid w:val="0A994130"/>
    <w:multiLevelType w:val="multilevel"/>
    <w:lvl w:ilvl="0">
      <w:start w:val="30"/>
      <w:numFmt w:val="decimal"/>
      <w:lvlText w:val="%1."/>
      <w:lvlJc w:val="left"/>
      <w:pPr>
        <w:ind w:left="720" w:hanging="480"/>
      </w:pPr>
    </w:lvl>
    <w:lvl w:ilvl="1">
      <w:start w:val="30"/>
      <w:numFmt w:val="decimal"/>
      <w:lvlText w:val="%2."/>
      <w:lvlJc w:val="left"/>
      <w:pPr>
        <w:ind w:left="1440" w:hanging="480"/>
      </w:pPr>
    </w:lvl>
    <w:lvl w:ilvl="2">
      <w:start w:val="30"/>
      <w:numFmt w:val="decimal"/>
      <w:lvlText w:val="%3."/>
      <w:lvlJc w:val="left"/>
      <w:pPr>
        <w:ind w:left="2160" w:hanging="480"/>
      </w:pPr>
    </w:lvl>
    <w:lvl w:ilvl="3">
      <w:start w:val="30"/>
      <w:numFmt w:val="decimal"/>
      <w:lvlText w:val="%4."/>
      <w:lvlJc w:val="left"/>
      <w:pPr>
        <w:ind w:left="2880" w:hanging="480"/>
      </w:pPr>
    </w:lvl>
    <w:lvl w:ilvl="4">
      <w:start w:val="30"/>
      <w:numFmt w:val="decimal"/>
      <w:lvlText w:val="%5."/>
      <w:lvlJc w:val="left"/>
      <w:pPr>
        <w:ind w:left="3600" w:hanging="480"/>
      </w:pPr>
    </w:lvl>
    <w:lvl w:ilvl="5">
      <w:start w:val="30"/>
      <w:numFmt w:val="decimal"/>
      <w:lvlText w:val="%6."/>
      <w:lvlJc w:val="left"/>
      <w:pPr>
        <w:ind w:left="4320" w:hanging="480"/>
      </w:pPr>
    </w:lvl>
    <w:lvl w:ilvl="6">
      <w:start w:val="30"/>
      <w:numFmt w:val="decimal"/>
      <w:lvlText w:val="%7."/>
      <w:lvlJc w:val="left"/>
      <w:pPr>
        <w:ind w:left="5040" w:hanging="480"/>
      </w:pPr>
    </w:lvl>
    <w:lvl w:ilvl="7">
      <w:start w:val="30"/>
      <w:numFmt w:val="decimal"/>
      <w:lvlText w:val="%8."/>
      <w:lvlJc w:val="left"/>
      <w:pPr>
        <w:ind w:left="5760" w:hanging="480"/>
      </w:pPr>
    </w:lvl>
    <w:lvl w:ilvl="8">
      <w:start w:val="30"/>
      <w:numFmt w:val="decimal"/>
      <w:lvlText w:val="%9."/>
      <w:lvlJc w:val="left"/>
      <w:pPr>
        <w:ind w:left="6480" w:hanging="480"/>
      </w:pPr>
    </w:lvl>
  </w:abstractNum>
  <w:abstractNum w:abstractNumId="994132">
    <w:nsid w:val="0A994132"/>
    <w:multiLevelType w:val="multilevel"/>
    <w:lvl w:ilvl="0">
      <w:start w:val="32"/>
      <w:numFmt w:val="decimal"/>
      <w:lvlText w:val="%1."/>
      <w:lvlJc w:val="left"/>
      <w:pPr>
        <w:ind w:left="720" w:hanging="480"/>
      </w:pPr>
    </w:lvl>
    <w:lvl w:ilvl="1">
      <w:start w:val="32"/>
      <w:numFmt w:val="decimal"/>
      <w:lvlText w:val="%2."/>
      <w:lvlJc w:val="left"/>
      <w:pPr>
        <w:ind w:left="1440" w:hanging="480"/>
      </w:pPr>
    </w:lvl>
    <w:lvl w:ilvl="2">
      <w:start w:val="32"/>
      <w:numFmt w:val="decimal"/>
      <w:lvlText w:val="%3."/>
      <w:lvlJc w:val="left"/>
      <w:pPr>
        <w:ind w:left="2160" w:hanging="480"/>
      </w:pPr>
    </w:lvl>
    <w:lvl w:ilvl="3">
      <w:start w:val="32"/>
      <w:numFmt w:val="decimal"/>
      <w:lvlText w:val="%4."/>
      <w:lvlJc w:val="left"/>
      <w:pPr>
        <w:ind w:left="2880" w:hanging="480"/>
      </w:pPr>
    </w:lvl>
    <w:lvl w:ilvl="4">
      <w:start w:val="32"/>
      <w:numFmt w:val="decimal"/>
      <w:lvlText w:val="%5."/>
      <w:lvlJc w:val="left"/>
      <w:pPr>
        <w:ind w:left="3600" w:hanging="480"/>
      </w:pPr>
    </w:lvl>
    <w:lvl w:ilvl="5">
      <w:start w:val="32"/>
      <w:numFmt w:val="decimal"/>
      <w:lvlText w:val="%6."/>
      <w:lvlJc w:val="left"/>
      <w:pPr>
        <w:ind w:left="4320" w:hanging="480"/>
      </w:pPr>
    </w:lvl>
    <w:lvl w:ilvl="6">
      <w:start w:val="32"/>
      <w:numFmt w:val="decimal"/>
      <w:lvlText w:val="%7."/>
      <w:lvlJc w:val="left"/>
      <w:pPr>
        <w:ind w:left="5040" w:hanging="480"/>
      </w:pPr>
    </w:lvl>
    <w:lvl w:ilvl="7">
      <w:start w:val="32"/>
      <w:numFmt w:val="decimal"/>
      <w:lvlText w:val="%8."/>
      <w:lvlJc w:val="left"/>
      <w:pPr>
        <w:ind w:left="5760" w:hanging="480"/>
      </w:pPr>
    </w:lvl>
    <w:lvl w:ilvl="8">
      <w:start w:val="32"/>
      <w:numFmt w:val="decimal"/>
      <w:lvlText w:val="%9."/>
      <w:lvlJc w:val="left"/>
      <w:pPr>
        <w:ind w:left="6480" w:hanging="480"/>
      </w:pPr>
    </w:lvl>
  </w:abstractNum>
  <w:abstractNum w:abstractNumId="994140">
    <w:nsid w:val="0A994140"/>
    <w:multiLevelType w:val="multilevel"/>
    <w:lvl w:ilvl="0">
      <w:start w:val="40"/>
      <w:numFmt w:val="decimal"/>
      <w:lvlText w:val="%1."/>
      <w:lvlJc w:val="left"/>
      <w:pPr>
        <w:ind w:left="720" w:hanging="480"/>
      </w:pPr>
    </w:lvl>
    <w:lvl w:ilvl="1">
      <w:start w:val="40"/>
      <w:numFmt w:val="decimal"/>
      <w:lvlText w:val="%2."/>
      <w:lvlJc w:val="left"/>
      <w:pPr>
        <w:ind w:left="1440" w:hanging="480"/>
      </w:pPr>
    </w:lvl>
    <w:lvl w:ilvl="2">
      <w:start w:val="40"/>
      <w:numFmt w:val="decimal"/>
      <w:lvlText w:val="%3."/>
      <w:lvlJc w:val="left"/>
      <w:pPr>
        <w:ind w:left="2160" w:hanging="480"/>
      </w:pPr>
    </w:lvl>
    <w:lvl w:ilvl="3">
      <w:start w:val="40"/>
      <w:numFmt w:val="decimal"/>
      <w:lvlText w:val="%4."/>
      <w:lvlJc w:val="left"/>
      <w:pPr>
        <w:ind w:left="2880" w:hanging="480"/>
      </w:pPr>
    </w:lvl>
    <w:lvl w:ilvl="4">
      <w:start w:val="40"/>
      <w:numFmt w:val="decimal"/>
      <w:lvlText w:val="%5."/>
      <w:lvlJc w:val="left"/>
      <w:pPr>
        <w:ind w:left="3600" w:hanging="480"/>
      </w:pPr>
    </w:lvl>
    <w:lvl w:ilvl="5">
      <w:start w:val="40"/>
      <w:numFmt w:val="decimal"/>
      <w:lvlText w:val="%6."/>
      <w:lvlJc w:val="left"/>
      <w:pPr>
        <w:ind w:left="4320" w:hanging="480"/>
      </w:pPr>
    </w:lvl>
    <w:lvl w:ilvl="6">
      <w:start w:val="40"/>
      <w:numFmt w:val="decimal"/>
      <w:lvlText w:val="%7."/>
      <w:lvlJc w:val="left"/>
      <w:pPr>
        <w:ind w:left="5040" w:hanging="480"/>
      </w:pPr>
    </w:lvl>
    <w:lvl w:ilvl="7">
      <w:start w:val="40"/>
      <w:numFmt w:val="decimal"/>
      <w:lvlText w:val="%8."/>
      <w:lvlJc w:val="left"/>
      <w:pPr>
        <w:ind w:left="5760" w:hanging="480"/>
      </w:pPr>
    </w:lvl>
    <w:lvl w:ilvl="8">
      <w:start w:val="40"/>
      <w:numFmt w:val="decimal"/>
      <w:lvlText w:val="%9."/>
      <w:lvlJc w:val="left"/>
      <w:pPr>
        <w:ind w:left="6480" w:hanging="480"/>
      </w:pPr>
    </w:lvl>
  </w:abstractNum>
  <w:abstractNum w:abstractNumId="994142">
    <w:nsid w:val="0A994142"/>
    <w:multiLevelType w:val="multilevel"/>
    <w:lvl w:ilvl="0">
      <w:start w:val="42"/>
      <w:numFmt w:val="decimal"/>
      <w:lvlText w:val="%1."/>
      <w:lvlJc w:val="left"/>
      <w:pPr>
        <w:ind w:left="720" w:hanging="480"/>
      </w:pPr>
    </w:lvl>
    <w:lvl w:ilvl="1">
      <w:start w:val="42"/>
      <w:numFmt w:val="decimal"/>
      <w:lvlText w:val="%2."/>
      <w:lvlJc w:val="left"/>
      <w:pPr>
        <w:ind w:left="1440" w:hanging="480"/>
      </w:pPr>
    </w:lvl>
    <w:lvl w:ilvl="2">
      <w:start w:val="42"/>
      <w:numFmt w:val="decimal"/>
      <w:lvlText w:val="%3."/>
      <w:lvlJc w:val="left"/>
      <w:pPr>
        <w:ind w:left="2160" w:hanging="480"/>
      </w:pPr>
    </w:lvl>
    <w:lvl w:ilvl="3">
      <w:start w:val="42"/>
      <w:numFmt w:val="decimal"/>
      <w:lvlText w:val="%4."/>
      <w:lvlJc w:val="left"/>
      <w:pPr>
        <w:ind w:left="2880" w:hanging="480"/>
      </w:pPr>
    </w:lvl>
    <w:lvl w:ilvl="4">
      <w:start w:val="42"/>
      <w:numFmt w:val="decimal"/>
      <w:lvlText w:val="%5."/>
      <w:lvlJc w:val="left"/>
      <w:pPr>
        <w:ind w:left="3600" w:hanging="480"/>
      </w:pPr>
    </w:lvl>
    <w:lvl w:ilvl="5">
      <w:start w:val="42"/>
      <w:numFmt w:val="decimal"/>
      <w:lvlText w:val="%6."/>
      <w:lvlJc w:val="left"/>
      <w:pPr>
        <w:ind w:left="4320" w:hanging="480"/>
      </w:pPr>
    </w:lvl>
    <w:lvl w:ilvl="6">
      <w:start w:val="42"/>
      <w:numFmt w:val="decimal"/>
      <w:lvlText w:val="%7."/>
      <w:lvlJc w:val="left"/>
      <w:pPr>
        <w:ind w:left="5040" w:hanging="480"/>
      </w:pPr>
    </w:lvl>
    <w:lvl w:ilvl="7">
      <w:start w:val="42"/>
      <w:numFmt w:val="decimal"/>
      <w:lvlText w:val="%8."/>
      <w:lvlJc w:val="left"/>
      <w:pPr>
        <w:ind w:left="5760" w:hanging="480"/>
      </w:pPr>
    </w:lvl>
    <w:lvl w:ilvl="8">
      <w:start w:val="42"/>
      <w:numFmt w:val="decimal"/>
      <w:lvlText w:val="%9."/>
      <w:lvlJc w:val="left"/>
      <w:pPr>
        <w:ind w:left="6480" w:hanging="480"/>
      </w:pPr>
    </w:lvl>
  </w:abstractNum>
  <w:abstractNum w:abstractNumId="994143">
    <w:nsid w:val="0A994143"/>
    <w:multiLevelType w:val="multilevel"/>
    <w:lvl w:ilvl="0">
      <w:start w:val="43"/>
      <w:numFmt w:val="decimal"/>
      <w:lvlText w:val="%1."/>
      <w:lvlJc w:val="left"/>
      <w:pPr>
        <w:ind w:left="720" w:hanging="480"/>
      </w:pPr>
    </w:lvl>
    <w:lvl w:ilvl="1">
      <w:start w:val="43"/>
      <w:numFmt w:val="decimal"/>
      <w:lvlText w:val="%2."/>
      <w:lvlJc w:val="left"/>
      <w:pPr>
        <w:ind w:left="1440" w:hanging="480"/>
      </w:pPr>
    </w:lvl>
    <w:lvl w:ilvl="2">
      <w:start w:val="43"/>
      <w:numFmt w:val="decimal"/>
      <w:lvlText w:val="%3."/>
      <w:lvlJc w:val="left"/>
      <w:pPr>
        <w:ind w:left="2160" w:hanging="480"/>
      </w:pPr>
    </w:lvl>
    <w:lvl w:ilvl="3">
      <w:start w:val="43"/>
      <w:numFmt w:val="decimal"/>
      <w:lvlText w:val="%4."/>
      <w:lvlJc w:val="left"/>
      <w:pPr>
        <w:ind w:left="2880" w:hanging="480"/>
      </w:pPr>
    </w:lvl>
    <w:lvl w:ilvl="4">
      <w:start w:val="43"/>
      <w:numFmt w:val="decimal"/>
      <w:lvlText w:val="%5."/>
      <w:lvlJc w:val="left"/>
      <w:pPr>
        <w:ind w:left="3600" w:hanging="480"/>
      </w:pPr>
    </w:lvl>
    <w:lvl w:ilvl="5">
      <w:start w:val="43"/>
      <w:numFmt w:val="decimal"/>
      <w:lvlText w:val="%6."/>
      <w:lvlJc w:val="left"/>
      <w:pPr>
        <w:ind w:left="4320" w:hanging="480"/>
      </w:pPr>
    </w:lvl>
    <w:lvl w:ilvl="6">
      <w:start w:val="43"/>
      <w:numFmt w:val="decimal"/>
      <w:lvlText w:val="%7."/>
      <w:lvlJc w:val="left"/>
      <w:pPr>
        <w:ind w:left="5040" w:hanging="480"/>
      </w:pPr>
    </w:lvl>
    <w:lvl w:ilvl="7">
      <w:start w:val="43"/>
      <w:numFmt w:val="decimal"/>
      <w:lvlText w:val="%8."/>
      <w:lvlJc w:val="left"/>
      <w:pPr>
        <w:ind w:left="5760" w:hanging="480"/>
      </w:pPr>
    </w:lvl>
    <w:lvl w:ilvl="8">
      <w:start w:val="43"/>
      <w:numFmt w:val="decimal"/>
      <w:lvlText w:val="%9."/>
      <w:lvlJc w:val="left"/>
      <w:pPr>
        <w:ind w:left="6480" w:hanging="480"/>
      </w:pPr>
    </w:lvl>
  </w:abstractNum>
  <w:abstractNum w:abstractNumId="994144">
    <w:nsid w:val="0A994144"/>
    <w:multiLevelType w:val="multilevel"/>
    <w:lvl w:ilvl="0">
      <w:start w:val="44"/>
      <w:numFmt w:val="decimal"/>
      <w:lvlText w:val="%1."/>
      <w:lvlJc w:val="left"/>
      <w:pPr>
        <w:ind w:left="720" w:hanging="480"/>
      </w:pPr>
    </w:lvl>
    <w:lvl w:ilvl="1">
      <w:start w:val="44"/>
      <w:numFmt w:val="decimal"/>
      <w:lvlText w:val="%2."/>
      <w:lvlJc w:val="left"/>
      <w:pPr>
        <w:ind w:left="1440" w:hanging="480"/>
      </w:pPr>
    </w:lvl>
    <w:lvl w:ilvl="2">
      <w:start w:val="44"/>
      <w:numFmt w:val="decimal"/>
      <w:lvlText w:val="%3."/>
      <w:lvlJc w:val="left"/>
      <w:pPr>
        <w:ind w:left="2160" w:hanging="480"/>
      </w:pPr>
    </w:lvl>
    <w:lvl w:ilvl="3">
      <w:start w:val="44"/>
      <w:numFmt w:val="decimal"/>
      <w:lvlText w:val="%4."/>
      <w:lvlJc w:val="left"/>
      <w:pPr>
        <w:ind w:left="2880" w:hanging="480"/>
      </w:pPr>
    </w:lvl>
    <w:lvl w:ilvl="4">
      <w:start w:val="44"/>
      <w:numFmt w:val="decimal"/>
      <w:lvlText w:val="%5."/>
      <w:lvlJc w:val="left"/>
      <w:pPr>
        <w:ind w:left="3600" w:hanging="480"/>
      </w:pPr>
    </w:lvl>
    <w:lvl w:ilvl="5">
      <w:start w:val="44"/>
      <w:numFmt w:val="decimal"/>
      <w:lvlText w:val="%6."/>
      <w:lvlJc w:val="left"/>
      <w:pPr>
        <w:ind w:left="4320" w:hanging="480"/>
      </w:pPr>
    </w:lvl>
    <w:lvl w:ilvl="6">
      <w:start w:val="44"/>
      <w:numFmt w:val="decimal"/>
      <w:lvlText w:val="%7."/>
      <w:lvlJc w:val="left"/>
      <w:pPr>
        <w:ind w:left="5040" w:hanging="480"/>
      </w:pPr>
    </w:lvl>
    <w:lvl w:ilvl="7">
      <w:start w:val="44"/>
      <w:numFmt w:val="decimal"/>
      <w:lvlText w:val="%8."/>
      <w:lvlJc w:val="left"/>
      <w:pPr>
        <w:ind w:left="5760" w:hanging="480"/>
      </w:pPr>
    </w:lvl>
    <w:lvl w:ilvl="8">
      <w:start w:val="44"/>
      <w:numFmt w:val="decimal"/>
      <w:lvlText w:val="%9."/>
      <w:lvlJc w:val="left"/>
      <w:pPr>
        <w:ind w:left="6480" w:hanging="480"/>
      </w:pPr>
    </w:lvl>
  </w:abstractNum>
  <w:abstractNum w:abstractNumId="994145">
    <w:nsid w:val="0A994145"/>
    <w:multiLevelType w:val="multilevel"/>
    <w:lvl w:ilvl="0">
      <w:start w:val="45"/>
      <w:numFmt w:val="decimal"/>
      <w:lvlText w:val="%1."/>
      <w:lvlJc w:val="left"/>
      <w:pPr>
        <w:ind w:left="720" w:hanging="480"/>
      </w:pPr>
    </w:lvl>
    <w:lvl w:ilvl="1">
      <w:start w:val="45"/>
      <w:numFmt w:val="decimal"/>
      <w:lvlText w:val="%2."/>
      <w:lvlJc w:val="left"/>
      <w:pPr>
        <w:ind w:left="1440" w:hanging="480"/>
      </w:pPr>
    </w:lvl>
    <w:lvl w:ilvl="2">
      <w:start w:val="45"/>
      <w:numFmt w:val="decimal"/>
      <w:lvlText w:val="%3."/>
      <w:lvlJc w:val="left"/>
      <w:pPr>
        <w:ind w:left="2160" w:hanging="480"/>
      </w:pPr>
    </w:lvl>
    <w:lvl w:ilvl="3">
      <w:start w:val="45"/>
      <w:numFmt w:val="decimal"/>
      <w:lvlText w:val="%4."/>
      <w:lvlJc w:val="left"/>
      <w:pPr>
        <w:ind w:left="2880" w:hanging="480"/>
      </w:pPr>
    </w:lvl>
    <w:lvl w:ilvl="4">
      <w:start w:val="45"/>
      <w:numFmt w:val="decimal"/>
      <w:lvlText w:val="%5."/>
      <w:lvlJc w:val="left"/>
      <w:pPr>
        <w:ind w:left="3600" w:hanging="480"/>
      </w:pPr>
    </w:lvl>
    <w:lvl w:ilvl="5">
      <w:start w:val="45"/>
      <w:numFmt w:val="decimal"/>
      <w:lvlText w:val="%6."/>
      <w:lvlJc w:val="left"/>
      <w:pPr>
        <w:ind w:left="4320" w:hanging="480"/>
      </w:pPr>
    </w:lvl>
    <w:lvl w:ilvl="6">
      <w:start w:val="45"/>
      <w:numFmt w:val="decimal"/>
      <w:lvlText w:val="%7."/>
      <w:lvlJc w:val="left"/>
      <w:pPr>
        <w:ind w:left="5040" w:hanging="480"/>
      </w:pPr>
    </w:lvl>
    <w:lvl w:ilvl="7">
      <w:start w:val="45"/>
      <w:numFmt w:val="decimal"/>
      <w:lvlText w:val="%8."/>
      <w:lvlJc w:val="left"/>
      <w:pPr>
        <w:ind w:left="5760" w:hanging="480"/>
      </w:pPr>
    </w:lvl>
    <w:lvl w:ilvl="8">
      <w:start w:val="45"/>
      <w:numFmt w:val="decimal"/>
      <w:lvlText w:val="%9."/>
      <w:lvlJc w:val="left"/>
      <w:pPr>
        <w:ind w:left="6480" w:hanging="480"/>
      </w:pPr>
    </w:lvl>
  </w:abstractNum>
  <w:abstractNum w:abstractNumId="994151">
    <w:nsid w:val="0A994151"/>
    <w:multiLevelType w:val="multilevel"/>
    <w:lvl w:ilvl="0">
      <w:start w:val="51"/>
      <w:numFmt w:val="decimal"/>
      <w:lvlText w:val="%1."/>
      <w:lvlJc w:val="left"/>
      <w:pPr>
        <w:ind w:left="720" w:hanging="480"/>
      </w:pPr>
    </w:lvl>
    <w:lvl w:ilvl="1">
      <w:start w:val="51"/>
      <w:numFmt w:val="decimal"/>
      <w:lvlText w:val="%2."/>
      <w:lvlJc w:val="left"/>
      <w:pPr>
        <w:ind w:left="1440" w:hanging="480"/>
      </w:pPr>
    </w:lvl>
    <w:lvl w:ilvl="2">
      <w:start w:val="51"/>
      <w:numFmt w:val="decimal"/>
      <w:lvlText w:val="%3."/>
      <w:lvlJc w:val="left"/>
      <w:pPr>
        <w:ind w:left="2160" w:hanging="480"/>
      </w:pPr>
    </w:lvl>
    <w:lvl w:ilvl="3">
      <w:start w:val="51"/>
      <w:numFmt w:val="decimal"/>
      <w:lvlText w:val="%4."/>
      <w:lvlJc w:val="left"/>
      <w:pPr>
        <w:ind w:left="2880" w:hanging="480"/>
      </w:pPr>
    </w:lvl>
    <w:lvl w:ilvl="4">
      <w:start w:val="51"/>
      <w:numFmt w:val="decimal"/>
      <w:lvlText w:val="%5."/>
      <w:lvlJc w:val="left"/>
      <w:pPr>
        <w:ind w:left="3600" w:hanging="480"/>
      </w:pPr>
    </w:lvl>
    <w:lvl w:ilvl="5">
      <w:start w:val="51"/>
      <w:numFmt w:val="decimal"/>
      <w:lvlText w:val="%6."/>
      <w:lvlJc w:val="left"/>
      <w:pPr>
        <w:ind w:left="4320" w:hanging="480"/>
      </w:pPr>
    </w:lvl>
    <w:lvl w:ilvl="6">
      <w:start w:val="51"/>
      <w:numFmt w:val="decimal"/>
      <w:lvlText w:val="%7."/>
      <w:lvlJc w:val="left"/>
      <w:pPr>
        <w:ind w:left="5040" w:hanging="480"/>
      </w:pPr>
    </w:lvl>
    <w:lvl w:ilvl="7">
      <w:start w:val="51"/>
      <w:numFmt w:val="decimal"/>
      <w:lvlText w:val="%8."/>
      <w:lvlJc w:val="left"/>
      <w:pPr>
        <w:ind w:left="5760" w:hanging="480"/>
      </w:pPr>
    </w:lvl>
    <w:lvl w:ilvl="8">
      <w:start w:val="51"/>
      <w:numFmt w:val="decimal"/>
      <w:lvlText w:val="%9."/>
      <w:lvlJc w:val="left"/>
      <w:pPr>
        <w:ind w:left="6480" w:hanging="480"/>
      </w:pPr>
    </w:lvl>
  </w:abstractNum>
  <w:abstractNum w:abstractNumId="994154">
    <w:nsid w:val="0A994154"/>
    <w:multiLevelType w:val="multilevel"/>
    <w:lvl w:ilvl="0">
      <w:start w:val="54"/>
      <w:numFmt w:val="decimal"/>
      <w:lvlText w:val="%1."/>
      <w:lvlJc w:val="left"/>
      <w:pPr>
        <w:ind w:left="720" w:hanging="480"/>
      </w:pPr>
    </w:lvl>
    <w:lvl w:ilvl="1">
      <w:start w:val="54"/>
      <w:numFmt w:val="decimal"/>
      <w:lvlText w:val="%2."/>
      <w:lvlJc w:val="left"/>
      <w:pPr>
        <w:ind w:left="1440" w:hanging="480"/>
      </w:pPr>
    </w:lvl>
    <w:lvl w:ilvl="2">
      <w:start w:val="54"/>
      <w:numFmt w:val="decimal"/>
      <w:lvlText w:val="%3."/>
      <w:lvlJc w:val="left"/>
      <w:pPr>
        <w:ind w:left="2160" w:hanging="480"/>
      </w:pPr>
    </w:lvl>
    <w:lvl w:ilvl="3">
      <w:start w:val="54"/>
      <w:numFmt w:val="decimal"/>
      <w:lvlText w:val="%4."/>
      <w:lvlJc w:val="left"/>
      <w:pPr>
        <w:ind w:left="2880" w:hanging="480"/>
      </w:pPr>
    </w:lvl>
    <w:lvl w:ilvl="4">
      <w:start w:val="54"/>
      <w:numFmt w:val="decimal"/>
      <w:lvlText w:val="%5."/>
      <w:lvlJc w:val="left"/>
      <w:pPr>
        <w:ind w:left="3600" w:hanging="480"/>
      </w:pPr>
    </w:lvl>
    <w:lvl w:ilvl="5">
      <w:start w:val="54"/>
      <w:numFmt w:val="decimal"/>
      <w:lvlText w:val="%6."/>
      <w:lvlJc w:val="left"/>
      <w:pPr>
        <w:ind w:left="4320" w:hanging="480"/>
      </w:pPr>
    </w:lvl>
    <w:lvl w:ilvl="6">
      <w:start w:val="54"/>
      <w:numFmt w:val="decimal"/>
      <w:lvlText w:val="%7."/>
      <w:lvlJc w:val="left"/>
      <w:pPr>
        <w:ind w:left="5040" w:hanging="480"/>
      </w:pPr>
    </w:lvl>
    <w:lvl w:ilvl="7">
      <w:start w:val="54"/>
      <w:numFmt w:val="decimal"/>
      <w:lvlText w:val="%8."/>
      <w:lvlJc w:val="left"/>
      <w:pPr>
        <w:ind w:left="5760" w:hanging="480"/>
      </w:pPr>
    </w:lvl>
    <w:lvl w:ilvl="8">
      <w:start w:val="54"/>
      <w:numFmt w:val="decimal"/>
      <w:lvlText w:val="%9."/>
      <w:lvlJc w:val="left"/>
      <w:pPr>
        <w:ind w:left="6480" w:hanging="480"/>
      </w:pPr>
    </w:lvl>
  </w:abstractNum>
  <w:abstractNum w:abstractNumId="994159">
    <w:nsid w:val="0A994159"/>
    <w:multiLevelType w:val="multilevel"/>
    <w:lvl w:ilvl="0">
      <w:start w:val="59"/>
      <w:numFmt w:val="decimal"/>
      <w:lvlText w:val="%1."/>
      <w:lvlJc w:val="left"/>
      <w:pPr>
        <w:ind w:left="720" w:hanging="480"/>
      </w:pPr>
    </w:lvl>
    <w:lvl w:ilvl="1">
      <w:start w:val="59"/>
      <w:numFmt w:val="decimal"/>
      <w:lvlText w:val="%2."/>
      <w:lvlJc w:val="left"/>
      <w:pPr>
        <w:ind w:left="1440" w:hanging="480"/>
      </w:pPr>
    </w:lvl>
    <w:lvl w:ilvl="2">
      <w:start w:val="59"/>
      <w:numFmt w:val="decimal"/>
      <w:lvlText w:val="%3."/>
      <w:lvlJc w:val="left"/>
      <w:pPr>
        <w:ind w:left="2160" w:hanging="480"/>
      </w:pPr>
    </w:lvl>
    <w:lvl w:ilvl="3">
      <w:start w:val="59"/>
      <w:numFmt w:val="decimal"/>
      <w:lvlText w:val="%4."/>
      <w:lvlJc w:val="left"/>
      <w:pPr>
        <w:ind w:left="2880" w:hanging="480"/>
      </w:pPr>
    </w:lvl>
    <w:lvl w:ilvl="4">
      <w:start w:val="59"/>
      <w:numFmt w:val="decimal"/>
      <w:lvlText w:val="%5."/>
      <w:lvlJc w:val="left"/>
      <w:pPr>
        <w:ind w:left="3600" w:hanging="480"/>
      </w:pPr>
    </w:lvl>
    <w:lvl w:ilvl="5">
      <w:start w:val="59"/>
      <w:numFmt w:val="decimal"/>
      <w:lvlText w:val="%6."/>
      <w:lvlJc w:val="left"/>
      <w:pPr>
        <w:ind w:left="4320" w:hanging="480"/>
      </w:pPr>
    </w:lvl>
    <w:lvl w:ilvl="6">
      <w:start w:val="59"/>
      <w:numFmt w:val="decimal"/>
      <w:lvlText w:val="%7."/>
      <w:lvlJc w:val="left"/>
      <w:pPr>
        <w:ind w:left="5040" w:hanging="480"/>
      </w:pPr>
    </w:lvl>
    <w:lvl w:ilvl="7">
      <w:start w:val="59"/>
      <w:numFmt w:val="decimal"/>
      <w:lvlText w:val="%8."/>
      <w:lvlJc w:val="left"/>
      <w:pPr>
        <w:ind w:left="5760" w:hanging="480"/>
      </w:pPr>
    </w:lvl>
    <w:lvl w:ilvl="8">
      <w:start w:val="59"/>
      <w:numFmt w:val="decimal"/>
      <w:lvlText w:val="%9."/>
      <w:lvlJc w:val="left"/>
      <w:pPr>
        <w:ind w:left="6480" w:hanging="480"/>
      </w:pPr>
    </w:lvl>
  </w:abstractNum>
  <w:abstractNum w:abstractNumId="994161">
    <w:nsid w:val="0A994161"/>
    <w:multiLevelType w:val="multilevel"/>
    <w:lvl w:ilvl="0">
      <w:start w:val="61"/>
      <w:numFmt w:val="decimal"/>
      <w:lvlText w:val="%1."/>
      <w:lvlJc w:val="left"/>
      <w:pPr>
        <w:ind w:left="720" w:hanging="480"/>
      </w:pPr>
    </w:lvl>
    <w:lvl w:ilvl="1">
      <w:start w:val="61"/>
      <w:numFmt w:val="decimal"/>
      <w:lvlText w:val="%2."/>
      <w:lvlJc w:val="left"/>
      <w:pPr>
        <w:ind w:left="1440" w:hanging="480"/>
      </w:pPr>
    </w:lvl>
    <w:lvl w:ilvl="2">
      <w:start w:val="61"/>
      <w:numFmt w:val="decimal"/>
      <w:lvlText w:val="%3."/>
      <w:lvlJc w:val="left"/>
      <w:pPr>
        <w:ind w:left="2160" w:hanging="480"/>
      </w:pPr>
    </w:lvl>
    <w:lvl w:ilvl="3">
      <w:start w:val="61"/>
      <w:numFmt w:val="decimal"/>
      <w:lvlText w:val="%4."/>
      <w:lvlJc w:val="left"/>
      <w:pPr>
        <w:ind w:left="2880" w:hanging="480"/>
      </w:pPr>
    </w:lvl>
    <w:lvl w:ilvl="4">
      <w:start w:val="61"/>
      <w:numFmt w:val="decimal"/>
      <w:lvlText w:val="%5."/>
      <w:lvlJc w:val="left"/>
      <w:pPr>
        <w:ind w:left="3600" w:hanging="480"/>
      </w:pPr>
    </w:lvl>
    <w:lvl w:ilvl="5">
      <w:start w:val="61"/>
      <w:numFmt w:val="decimal"/>
      <w:lvlText w:val="%6."/>
      <w:lvlJc w:val="left"/>
      <w:pPr>
        <w:ind w:left="4320" w:hanging="480"/>
      </w:pPr>
    </w:lvl>
    <w:lvl w:ilvl="6">
      <w:start w:val="61"/>
      <w:numFmt w:val="decimal"/>
      <w:lvlText w:val="%7."/>
      <w:lvlJc w:val="left"/>
      <w:pPr>
        <w:ind w:left="5040" w:hanging="480"/>
      </w:pPr>
    </w:lvl>
    <w:lvl w:ilvl="7">
      <w:start w:val="61"/>
      <w:numFmt w:val="decimal"/>
      <w:lvlText w:val="%8."/>
      <w:lvlJc w:val="left"/>
      <w:pPr>
        <w:ind w:left="5760" w:hanging="480"/>
      </w:pPr>
    </w:lvl>
    <w:lvl w:ilvl="8">
      <w:start w:val="61"/>
      <w:numFmt w:val="decimal"/>
      <w:lvlText w:val="%9."/>
      <w:lvlJc w:val="left"/>
      <w:pPr>
        <w:ind w:left="6480" w:hanging="480"/>
      </w:pPr>
    </w:lvl>
  </w:abstractNum>
  <w:abstractNum w:abstractNumId="994162">
    <w:nsid w:val="0A994162"/>
    <w:multiLevelType w:val="multilevel"/>
    <w:lvl w:ilvl="0">
      <w:start w:val="62"/>
      <w:numFmt w:val="decimal"/>
      <w:lvlText w:val="%1."/>
      <w:lvlJc w:val="left"/>
      <w:pPr>
        <w:ind w:left="720" w:hanging="480"/>
      </w:pPr>
    </w:lvl>
    <w:lvl w:ilvl="1">
      <w:start w:val="62"/>
      <w:numFmt w:val="decimal"/>
      <w:lvlText w:val="%2."/>
      <w:lvlJc w:val="left"/>
      <w:pPr>
        <w:ind w:left="1440" w:hanging="480"/>
      </w:pPr>
    </w:lvl>
    <w:lvl w:ilvl="2">
      <w:start w:val="62"/>
      <w:numFmt w:val="decimal"/>
      <w:lvlText w:val="%3."/>
      <w:lvlJc w:val="left"/>
      <w:pPr>
        <w:ind w:left="2160" w:hanging="480"/>
      </w:pPr>
    </w:lvl>
    <w:lvl w:ilvl="3">
      <w:start w:val="62"/>
      <w:numFmt w:val="decimal"/>
      <w:lvlText w:val="%4."/>
      <w:lvlJc w:val="left"/>
      <w:pPr>
        <w:ind w:left="2880" w:hanging="480"/>
      </w:pPr>
    </w:lvl>
    <w:lvl w:ilvl="4">
      <w:start w:val="62"/>
      <w:numFmt w:val="decimal"/>
      <w:lvlText w:val="%5."/>
      <w:lvlJc w:val="left"/>
      <w:pPr>
        <w:ind w:left="3600" w:hanging="480"/>
      </w:pPr>
    </w:lvl>
    <w:lvl w:ilvl="5">
      <w:start w:val="62"/>
      <w:numFmt w:val="decimal"/>
      <w:lvlText w:val="%6."/>
      <w:lvlJc w:val="left"/>
      <w:pPr>
        <w:ind w:left="4320" w:hanging="480"/>
      </w:pPr>
    </w:lvl>
    <w:lvl w:ilvl="6">
      <w:start w:val="62"/>
      <w:numFmt w:val="decimal"/>
      <w:lvlText w:val="%7."/>
      <w:lvlJc w:val="left"/>
      <w:pPr>
        <w:ind w:left="5040" w:hanging="480"/>
      </w:pPr>
    </w:lvl>
    <w:lvl w:ilvl="7">
      <w:start w:val="62"/>
      <w:numFmt w:val="decimal"/>
      <w:lvlText w:val="%8."/>
      <w:lvlJc w:val="left"/>
      <w:pPr>
        <w:ind w:left="5760" w:hanging="480"/>
      </w:pPr>
    </w:lvl>
    <w:lvl w:ilvl="8">
      <w:start w:val="62"/>
      <w:numFmt w:val="decimal"/>
      <w:lvlText w:val="%9."/>
      <w:lvlJc w:val="left"/>
      <w:pPr>
        <w:ind w:left="6480" w:hanging="480"/>
      </w:pPr>
    </w:lvl>
  </w:abstractNum>
  <w:abstractNum w:abstractNumId="994167">
    <w:nsid w:val="0A994167"/>
    <w:multiLevelType w:val="multilevel"/>
    <w:lvl w:ilvl="0">
      <w:start w:val="67"/>
      <w:numFmt w:val="decimal"/>
      <w:lvlText w:val="%1."/>
      <w:lvlJc w:val="left"/>
      <w:pPr>
        <w:ind w:left="720" w:hanging="480"/>
      </w:pPr>
    </w:lvl>
    <w:lvl w:ilvl="1">
      <w:start w:val="67"/>
      <w:numFmt w:val="decimal"/>
      <w:lvlText w:val="%2."/>
      <w:lvlJc w:val="left"/>
      <w:pPr>
        <w:ind w:left="1440" w:hanging="480"/>
      </w:pPr>
    </w:lvl>
    <w:lvl w:ilvl="2">
      <w:start w:val="67"/>
      <w:numFmt w:val="decimal"/>
      <w:lvlText w:val="%3."/>
      <w:lvlJc w:val="left"/>
      <w:pPr>
        <w:ind w:left="2160" w:hanging="480"/>
      </w:pPr>
    </w:lvl>
    <w:lvl w:ilvl="3">
      <w:start w:val="67"/>
      <w:numFmt w:val="decimal"/>
      <w:lvlText w:val="%4."/>
      <w:lvlJc w:val="left"/>
      <w:pPr>
        <w:ind w:left="2880" w:hanging="480"/>
      </w:pPr>
    </w:lvl>
    <w:lvl w:ilvl="4">
      <w:start w:val="67"/>
      <w:numFmt w:val="decimal"/>
      <w:lvlText w:val="%5."/>
      <w:lvlJc w:val="left"/>
      <w:pPr>
        <w:ind w:left="3600" w:hanging="480"/>
      </w:pPr>
    </w:lvl>
    <w:lvl w:ilvl="5">
      <w:start w:val="67"/>
      <w:numFmt w:val="decimal"/>
      <w:lvlText w:val="%6."/>
      <w:lvlJc w:val="left"/>
      <w:pPr>
        <w:ind w:left="4320" w:hanging="480"/>
      </w:pPr>
    </w:lvl>
    <w:lvl w:ilvl="6">
      <w:start w:val="67"/>
      <w:numFmt w:val="decimal"/>
      <w:lvlText w:val="%7."/>
      <w:lvlJc w:val="left"/>
      <w:pPr>
        <w:ind w:left="5040" w:hanging="480"/>
      </w:pPr>
    </w:lvl>
    <w:lvl w:ilvl="7">
      <w:start w:val="67"/>
      <w:numFmt w:val="decimal"/>
      <w:lvlText w:val="%8."/>
      <w:lvlJc w:val="left"/>
      <w:pPr>
        <w:ind w:left="5760" w:hanging="480"/>
      </w:pPr>
    </w:lvl>
    <w:lvl w:ilvl="8">
      <w:start w:val="67"/>
      <w:numFmt w:val="decimal"/>
      <w:lvlText w:val="%9."/>
      <w:lvlJc w:val="left"/>
      <w:pPr>
        <w:ind w:left="6480" w:hanging="480"/>
      </w:pPr>
    </w:lvl>
  </w:abstractNum>
  <w:abstractNum w:abstractNumId="994171">
    <w:nsid w:val="0A994171"/>
    <w:multiLevelType w:val="multilevel"/>
    <w:lvl w:ilvl="0">
      <w:start w:val="71"/>
      <w:numFmt w:val="decimal"/>
      <w:lvlText w:val="%1."/>
      <w:lvlJc w:val="left"/>
      <w:pPr>
        <w:ind w:left="720" w:hanging="480"/>
      </w:pPr>
    </w:lvl>
    <w:lvl w:ilvl="1">
      <w:start w:val="71"/>
      <w:numFmt w:val="decimal"/>
      <w:lvlText w:val="%2."/>
      <w:lvlJc w:val="left"/>
      <w:pPr>
        <w:ind w:left="1440" w:hanging="480"/>
      </w:pPr>
    </w:lvl>
    <w:lvl w:ilvl="2">
      <w:start w:val="71"/>
      <w:numFmt w:val="decimal"/>
      <w:lvlText w:val="%3."/>
      <w:lvlJc w:val="left"/>
      <w:pPr>
        <w:ind w:left="2160" w:hanging="480"/>
      </w:pPr>
    </w:lvl>
    <w:lvl w:ilvl="3">
      <w:start w:val="71"/>
      <w:numFmt w:val="decimal"/>
      <w:lvlText w:val="%4."/>
      <w:lvlJc w:val="left"/>
      <w:pPr>
        <w:ind w:left="2880" w:hanging="480"/>
      </w:pPr>
    </w:lvl>
    <w:lvl w:ilvl="4">
      <w:start w:val="71"/>
      <w:numFmt w:val="decimal"/>
      <w:lvlText w:val="%5."/>
      <w:lvlJc w:val="left"/>
      <w:pPr>
        <w:ind w:left="3600" w:hanging="480"/>
      </w:pPr>
    </w:lvl>
    <w:lvl w:ilvl="5">
      <w:start w:val="71"/>
      <w:numFmt w:val="decimal"/>
      <w:lvlText w:val="%6."/>
      <w:lvlJc w:val="left"/>
      <w:pPr>
        <w:ind w:left="4320" w:hanging="480"/>
      </w:pPr>
    </w:lvl>
    <w:lvl w:ilvl="6">
      <w:start w:val="71"/>
      <w:numFmt w:val="decimal"/>
      <w:lvlText w:val="%7."/>
      <w:lvlJc w:val="left"/>
      <w:pPr>
        <w:ind w:left="5040" w:hanging="480"/>
      </w:pPr>
    </w:lvl>
    <w:lvl w:ilvl="7">
      <w:start w:val="71"/>
      <w:numFmt w:val="decimal"/>
      <w:lvlText w:val="%8."/>
      <w:lvlJc w:val="left"/>
      <w:pPr>
        <w:ind w:left="5760" w:hanging="480"/>
      </w:pPr>
    </w:lvl>
    <w:lvl w:ilvl="8">
      <w:start w:val="71"/>
      <w:numFmt w:val="decimal"/>
      <w:lvlText w:val="%9."/>
      <w:lvlJc w:val="left"/>
      <w:pPr>
        <w:ind w:left="6480" w:hanging="480"/>
      </w:pPr>
    </w:lvl>
  </w:abstractNum>
  <w:abstractNum w:abstractNumId="994174">
    <w:nsid w:val="0A994174"/>
    <w:multiLevelType w:val="multilevel"/>
    <w:lvl w:ilvl="0">
      <w:start w:val="74"/>
      <w:numFmt w:val="decimal"/>
      <w:lvlText w:val="%1."/>
      <w:lvlJc w:val="left"/>
      <w:pPr>
        <w:ind w:left="720" w:hanging="480"/>
      </w:pPr>
    </w:lvl>
    <w:lvl w:ilvl="1">
      <w:start w:val="74"/>
      <w:numFmt w:val="decimal"/>
      <w:lvlText w:val="%2."/>
      <w:lvlJc w:val="left"/>
      <w:pPr>
        <w:ind w:left="1440" w:hanging="480"/>
      </w:pPr>
    </w:lvl>
    <w:lvl w:ilvl="2">
      <w:start w:val="74"/>
      <w:numFmt w:val="decimal"/>
      <w:lvlText w:val="%3."/>
      <w:lvlJc w:val="left"/>
      <w:pPr>
        <w:ind w:left="2160" w:hanging="480"/>
      </w:pPr>
    </w:lvl>
    <w:lvl w:ilvl="3">
      <w:start w:val="74"/>
      <w:numFmt w:val="decimal"/>
      <w:lvlText w:val="%4."/>
      <w:lvlJc w:val="left"/>
      <w:pPr>
        <w:ind w:left="2880" w:hanging="480"/>
      </w:pPr>
    </w:lvl>
    <w:lvl w:ilvl="4">
      <w:start w:val="74"/>
      <w:numFmt w:val="decimal"/>
      <w:lvlText w:val="%5."/>
      <w:lvlJc w:val="left"/>
      <w:pPr>
        <w:ind w:left="3600" w:hanging="480"/>
      </w:pPr>
    </w:lvl>
    <w:lvl w:ilvl="5">
      <w:start w:val="74"/>
      <w:numFmt w:val="decimal"/>
      <w:lvlText w:val="%6."/>
      <w:lvlJc w:val="left"/>
      <w:pPr>
        <w:ind w:left="4320" w:hanging="480"/>
      </w:pPr>
    </w:lvl>
    <w:lvl w:ilvl="6">
      <w:start w:val="74"/>
      <w:numFmt w:val="decimal"/>
      <w:lvlText w:val="%7."/>
      <w:lvlJc w:val="left"/>
      <w:pPr>
        <w:ind w:left="5040" w:hanging="480"/>
      </w:pPr>
    </w:lvl>
    <w:lvl w:ilvl="7">
      <w:start w:val="74"/>
      <w:numFmt w:val="decimal"/>
      <w:lvlText w:val="%8."/>
      <w:lvlJc w:val="left"/>
      <w:pPr>
        <w:ind w:left="5760" w:hanging="480"/>
      </w:pPr>
    </w:lvl>
    <w:lvl w:ilvl="8">
      <w:start w:val="74"/>
      <w:numFmt w:val="decimal"/>
      <w:lvlText w:val="%9."/>
      <w:lvlJc w:val="left"/>
      <w:pPr>
        <w:ind w:left="6480" w:hanging="480"/>
      </w:pPr>
    </w:lvl>
  </w:abstractNum>
  <w:abstractNum w:abstractNumId="994176">
    <w:nsid w:val="0A994176"/>
    <w:multiLevelType w:val="multilevel"/>
    <w:lvl w:ilvl="0">
      <w:start w:val="76"/>
      <w:numFmt w:val="decimal"/>
      <w:lvlText w:val="%1."/>
      <w:lvlJc w:val="left"/>
      <w:pPr>
        <w:ind w:left="720" w:hanging="480"/>
      </w:pPr>
    </w:lvl>
    <w:lvl w:ilvl="1">
      <w:start w:val="76"/>
      <w:numFmt w:val="decimal"/>
      <w:lvlText w:val="%2."/>
      <w:lvlJc w:val="left"/>
      <w:pPr>
        <w:ind w:left="1440" w:hanging="480"/>
      </w:pPr>
    </w:lvl>
    <w:lvl w:ilvl="2">
      <w:start w:val="76"/>
      <w:numFmt w:val="decimal"/>
      <w:lvlText w:val="%3."/>
      <w:lvlJc w:val="left"/>
      <w:pPr>
        <w:ind w:left="2160" w:hanging="480"/>
      </w:pPr>
    </w:lvl>
    <w:lvl w:ilvl="3">
      <w:start w:val="76"/>
      <w:numFmt w:val="decimal"/>
      <w:lvlText w:val="%4."/>
      <w:lvlJc w:val="left"/>
      <w:pPr>
        <w:ind w:left="2880" w:hanging="480"/>
      </w:pPr>
    </w:lvl>
    <w:lvl w:ilvl="4">
      <w:start w:val="76"/>
      <w:numFmt w:val="decimal"/>
      <w:lvlText w:val="%5."/>
      <w:lvlJc w:val="left"/>
      <w:pPr>
        <w:ind w:left="3600" w:hanging="480"/>
      </w:pPr>
    </w:lvl>
    <w:lvl w:ilvl="5">
      <w:start w:val="76"/>
      <w:numFmt w:val="decimal"/>
      <w:lvlText w:val="%6."/>
      <w:lvlJc w:val="left"/>
      <w:pPr>
        <w:ind w:left="4320" w:hanging="480"/>
      </w:pPr>
    </w:lvl>
    <w:lvl w:ilvl="6">
      <w:start w:val="76"/>
      <w:numFmt w:val="decimal"/>
      <w:lvlText w:val="%7."/>
      <w:lvlJc w:val="left"/>
      <w:pPr>
        <w:ind w:left="5040" w:hanging="480"/>
      </w:pPr>
    </w:lvl>
    <w:lvl w:ilvl="7">
      <w:start w:val="76"/>
      <w:numFmt w:val="decimal"/>
      <w:lvlText w:val="%8."/>
      <w:lvlJc w:val="left"/>
      <w:pPr>
        <w:ind w:left="5760" w:hanging="480"/>
      </w:pPr>
    </w:lvl>
    <w:lvl w:ilvl="8">
      <w:start w:val="76"/>
      <w:numFmt w:val="decimal"/>
      <w:lvlText w:val="%9."/>
      <w:lvlJc w:val="left"/>
      <w:pPr>
        <w:ind w:left="6480" w:hanging="480"/>
      </w:pPr>
    </w:lvl>
  </w:abstractNum>
  <w:abstractNum w:abstractNumId="994193">
    <w:nsid w:val="0A994193"/>
    <w:multiLevelType w:val="multilevel"/>
    <w:lvl w:ilvl="0">
      <w:start w:val="93"/>
      <w:numFmt w:val="decimal"/>
      <w:lvlText w:val="%1."/>
      <w:lvlJc w:val="left"/>
      <w:pPr>
        <w:ind w:left="720" w:hanging="480"/>
      </w:pPr>
    </w:lvl>
    <w:lvl w:ilvl="1">
      <w:start w:val="93"/>
      <w:numFmt w:val="decimal"/>
      <w:lvlText w:val="%2."/>
      <w:lvlJc w:val="left"/>
      <w:pPr>
        <w:ind w:left="1440" w:hanging="480"/>
      </w:pPr>
    </w:lvl>
    <w:lvl w:ilvl="2">
      <w:start w:val="93"/>
      <w:numFmt w:val="decimal"/>
      <w:lvlText w:val="%3."/>
      <w:lvlJc w:val="left"/>
      <w:pPr>
        <w:ind w:left="2160" w:hanging="480"/>
      </w:pPr>
    </w:lvl>
    <w:lvl w:ilvl="3">
      <w:start w:val="93"/>
      <w:numFmt w:val="decimal"/>
      <w:lvlText w:val="%4."/>
      <w:lvlJc w:val="left"/>
      <w:pPr>
        <w:ind w:left="2880" w:hanging="480"/>
      </w:pPr>
    </w:lvl>
    <w:lvl w:ilvl="4">
      <w:start w:val="93"/>
      <w:numFmt w:val="decimal"/>
      <w:lvlText w:val="%5."/>
      <w:lvlJc w:val="left"/>
      <w:pPr>
        <w:ind w:left="3600" w:hanging="480"/>
      </w:pPr>
    </w:lvl>
    <w:lvl w:ilvl="5">
      <w:start w:val="93"/>
      <w:numFmt w:val="decimal"/>
      <w:lvlText w:val="%6."/>
      <w:lvlJc w:val="left"/>
      <w:pPr>
        <w:ind w:left="4320" w:hanging="480"/>
      </w:pPr>
    </w:lvl>
    <w:lvl w:ilvl="6">
      <w:start w:val="93"/>
      <w:numFmt w:val="decimal"/>
      <w:lvlText w:val="%7."/>
      <w:lvlJc w:val="left"/>
      <w:pPr>
        <w:ind w:left="5040" w:hanging="480"/>
      </w:pPr>
    </w:lvl>
    <w:lvl w:ilvl="7">
      <w:start w:val="93"/>
      <w:numFmt w:val="decimal"/>
      <w:lvlText w:val="%8."/>
      <w:lvlJc w:val="left"/>
      <w:pPr>
        <w:ind w:left="5760" w:hanging="480"/>
      </w:pPr>
    </w:lvl>
    <w:lvl w:ilvl="8">
      <w:start w:val="93"/>
      <w:numFmt w:val="decimal"/>
      <w:lvlText w:val="%9."/>
      <w:lvlJc w:val="left"/>
      <w:pPr>
        <w:ind w:left="6480" w:hanging="480"/>
      </w:pPr>
    </w:lvl>
  </w:abstractNum>
  <w:abstractNum w:abstractNumId="9941105">
    <w:nsid w:val="A9941105"/>
    <w:multiLevelType w:val="multilevel"/>
    <w:lvl w:ilvl="0">
      <w:start w:val="105"/>
      <w:numFmt w:val="decimal"/>
      <w:lvlText w:val="%1."/>
      <w:lvlJc w:val="left"/>
      <w:pPr>
        <w:ind w:left="720" w:hanging="480"/>
      </w:pPr>
    </w:lvl>
    <w:lvl w:ilvl="1">
      <w:start w:val="105"/>
      <w:numFmt w:val="decimal"/>
      <w:lvlText w:val="%2."/>
      <w:lvlJc w:val="left"/>
      <w:pPr>
        <w:ind w:left="1440" w:hanging="480"/>
      </w:pPr>
    </w:lvl>
    <w:lvl w:ilvl="2">
      <w:start w:val="105"/>
      <w:numFmt w:val="decimal"/>
      <w:lvlText w:val="%3."/>
      <w:lvlJc w:val="left"/>
      <w:pPr>
        <w:ind w:left="2160" w:hanging="480"/>
      </w:pPr>
    </w:lvl>
    <w:lvl w:ilvl="3">
      <w:start w:val="105"/>
      <w:numFmt w:val="decimal"/>
      <w:lvlText w:val="%4."/>
      <w:lvlJc w:val="left"/>
      <w:pPr>
        <w:ind w:left="2880" w:hanging="480"/>
      </w:pPr>
    </w:lvl>
    <w:lvl w:ilvl="4">
      <w:start w:val="105"/>
      <w:numFmt w:val="decimal"/>
      <w:lvlText w:val="%5."/>
      <w:lvlJc w:val="left"/>
      <w:pPr>
        <w:ind w:left="3600" w:hanging="480"/>
      </w:pPr>
    </w:lvl>
    <w:lvl w:ilvl="5">
      <w:start w:val="105"/>
      <w:numFmt w:val="decimal"/>
      <w:lvlText w:val="%6."/>
      <w:lvlJc w:val="left"/>
      <w:pPr>
        <w:ind w:left="4320" w:hanging="480"/>
      </w:pPr>
    </w:lvl>
    <w:lvl w:ilvl="6">
      <w:start w:val="105"/>
      <w:numFmt w:val="decimal"/>
      <w:lvlText w:val="%7."/>
      <w:lvlJc w:val="left"/>
      <w:pPr>
        <w:ind w:left="5040" w:hanging="480"/>
      </w:pPr>
    </w:lvl>
    <w:lvl w:ilvl="7">
      <w:start w:val="105"/>
      <w:numFmt w:val="decimal"/>
      <w:lvlText w:val="%8."/>
      <w:lvlJc w:val="left"/>
      <w:pPr>
        <w:ind w:left="5760" w:hanging="480"/>
      </w:pPr>
    </w:lvl>
    <w:lvl w:ilvl="8">
      <w:start w:val="105"/>
      <w:numFmt w:val="decimal"/>
      <w:lvlText w:val="%9."/>
      <w:lvlJc w:val="left"/>
      <w:pPr>
        <w:ind w:left="6480" w:hanging="480"/>
      </w:pPr>
    </w:lvl>
  </w:abstractNum>
  <w:abstractNum w:abstractNumId="9941117">
    <w:nsid w:val="A9941117"/>
    <w:multiLevelType w:val="multilevel"/>
    <w:lvl w:ilvl="0">
      <w:start w:val="117"/>
      <w:numFmt w:val="decimal"/>
      <w:lvlText w:val="%1."/>
      <w:lvlJc w:val="left"/>
      <w:pPr>
        <w:ind w:left="720" w:hanging="480"/>
      </w:pPr>
    </w:lvl>
    <w:lvl w:ilvl="1">
      <w:start w:val="117"/>
      <w:numFmt w:val="decimal"/>
      <w:lvlText w:val="%2."/>
      <w:lvlJc w:val="left"/>
      <w:pPr>
        <w:ind w:left="1440" w:hanging="480"/>
      </w:pPr>
    </w:lvl>
    <w:lvl w:ilvl="2">
      <w:start w:val="117"/>
      <w:numFmt w:val="decimal"/>
      <w:lvlText w:val="%3."/>
      <w:lvlJc w:val="left"/>
      <w:pPr>
        <w:ind w:left="2160" w:hanging="480"/>
      </w:pPr>
    </w:lvl>
    <w:lvl w:ilvl="3">
      <w:start w:val="117"/>
      <w:numFmt w:val="decimal"/>
      <w:lvlText w:val="%4."/>
      <w:lvlJc w:val="left"/>
      <w:pPr>
        <w:ind w:left="2880" w:hanging="480"/>
      </w:pPr>
    </w:lvl>
    <w:lvl w:ilvl="4">
      <w:start w:val="117"/>
      <w:numFmt w:val="decimal"/>
      <w:lvlText w:val="%5."/>
      <w:lvlJc w:val="left"/>
      <w:pPr>
        <w:ind w:left="3600" w:hanging="480"/>
      </w:pPr>
    </w:lvl>
    <w:lvl w:ilvl="5">
      <w:start w:val="117"/>
      <w:numFmt w:val="decimal"/>
      <w:lvlText w:val="%6."/>
      <w:lvlJc w:val="left"/>
      <w:pPr>
        <w:ind w:left="4320" w:hanging="480"/>
      </w:pPr>
    </w:lvl>
    <w:lvl w:ilvl="6">
      <w:start w:val="117"/>
      <w:numFmt w:val="decimal"/>
      <w:lvlText w:val="%7."/>
      <w:lvlJc w:val="left"/>
      <w:pPr>
        <w:ind w:left="5040" w:hanging="480"/>
      </w:pPr>
    </w:lvl>
    <w:lvl w:ilvl="7">
      <w:start w:val="117"/>
      <w:numFmt w:val="decimal"/>
      <w:lvlText w:val="%8."/>
      <w:lvlJc w:val="left"/>
      <w:pPr>
        <w:ind w:left="5760" w:hanging="480"/>
      </w:pPr>
    </w:lvl>
    <w:lvl w:ilvl="8">
      <w:start w:val="117"/>
      <w:numFmt w:val="decimal"/>
      <w:lvlText w:val="%9."/>
      <w:lvlJc w:val="left"/>
      <w:pPr>
        <w:ind w:left="6480" w:hanging="480"/>
      </w:pPr>
    </w:lvl>
  </w:abstractNum>
  <w:abstractNum w:abstractNumId="9941126">
    <w:nsid w:val="A9941126"/>
    <w:multiLevelType w:val="multilevel"/>
    <w:lvl w:ilvl="0">
      <w:start w:val="126"/>
      <w:numFmt w:val="decimal"/>
      <w:lvlText w:val="%1."/>
      <w:lvlJc w:val="left"/>
      <w:pPr>
        <w:ind w:left="720" w:hanging="480"/>
      </w:pPr>
    </w:lvl>
    <w:lvl w:ilvl="1">
      <w:start w:val="126"/>
      <w:numFmt w:val="decimal"/>
      <w:lvlText w:val="%2."/>
      <w:lvlJc w:val="left"/>
      <w:pPr>
        <w:ind w:left="1440" w:hanging="480"/>
      </w:pPr>
    </w:lvl>
    <w:lvl w:ilvl="2">
      <w:start w:val="126"/>
      <w:numFmt w:val="decimal"/>
      <w:lvlText w:val="%3."/>
      <w:lvlJc w:val="left"/>
      <w:pPr>
        <w:ind w:left="2160" w:hanging="480"/>
      </w:pPr>
    </w:lvl>
    <w:lvl w:ilvl="3">
      <w:start w:val="126"/>
      <w:numFmt w:val="decimal"/>
      <w:lvlText w:val="%4."/>
      <w:lvlJc w:val="left"/>
      <w:pPr>
        <w:ind w:left="2880" w:hanging="480"/>
      </w:pPr>
    </w:lvl>
    <w:lvl w:ilvl="4">
      <w:start w:val="126"/>
      <w:numFmt w:val="decimal"/>
      <w:lvlText w:val="%5."/>
      <w:lvlJc w:val="left"/>
      <w:pPr>
        <w:ind w:left="3600" w:hanging="480"/>
      </w:pPr>
    </w:lvl>
    <w:lvl w:ilvl="5">
      <w:start w:val="126"/>
      <w:numFmt w:val="decimal"/>
      <w:lvlText w:val="%6."/>
      <w:lvlJc w:val="left"/>
      <w:pPr>
        <w:ind w:left="4320" w:hanging="480"/>
      </w:pPr>
    </w:lvl>
    <w:lvl w:ilvl="6">
      <w:start w:val="126"/>
      <w:numFmt w:val="decimal"/>
      <w:lvlText w:val="%7."/>
      <w:lvlJc w:val="left"/>
      <w:pPr>
        <w:ind w:left="5040" w:hanging="480"/>
      </w:pPr>
    </w:lvl>
    <w:lvl w:ilvl="7">
      <w:start w:val="126"/>
      <w:numFmt w:val="decimal"/>
      <w:lvlText w:val="%8."/>
      <w:lvlJc w:val="left"/>
      <w:pPr>
        <w:ind w:left="5760" w:hanging="480"/>
      </w:pPr>
    </w:lvl>
    <w:lvl w:ilvl="8">
      <w:start w:val="126"/>
      <w:numFmt w:val="decimal"/>
      <w:lvlText w:val="%9."/>
      <w:lvlJc w:val="left"/>
      <w:pPr>
        <w:ind w:left="6480" w:hanging="480"/>
      </w:pPr>
    </w:lvl>
  </w:abstractNum>
  <w:abstractNum w:abstractNumId="9941133">
    <w:nsid w:val="A9941133"/>
    <w:multiLevelType w:val="multilevel"/>
    <w:lvl w:ilvl="0">
      <w:start w:val="133"/>
      <w:numFmt w:val="decimal"/>
      <w:lvlText w:val="%1."/>
      <w:lvlJc w:val="left"/>
      <w:pPr>
        <w:ind w:left="720" w:hanging="480"/>
      </w:pPr>
    </w:lvl>
    <w:lvl w:ilvl="1">
      <w:start w:val="133"/>
      <w:numFmt w:val="decimal"/>
      <w:lvlText w:val="%2."/>
      <w:lvlJc w:val="left"/>
      <w:pPr>
        <w:ind w:left="1440" w:hanging="480"/>
      </w:pPr>
    </w:lvl>
    <w:lvl w:ilvl="2">
      <w:start w:val="133"/>
      <w:numFmt w:val="decimal"/>
      <w:lvlText w:val="%3."/>
      <w:lvlJc w:val="left"/>
      <w:pPr>
        <w:ind w:left="2160" w:hanging="480"/>
      </w:pPr>
    </w:lvl>
    <w:lvl w:ilvl="3">
      <w:start w:val="133"/>
      <w:numFmt w:val="decimal"/>
      <w:lvlText w:val="%4."/>
      <w:lvlJc w:val="left"/>
      <w:pPr>
        <w:ind w:left="2880" w:hanging="480"/>
      </w:pPr>
    </w:lvl>
    <w:lvl w:ilvl="4">
      <w:start w:val="133"/>
      <w:numFmt w:val="decimal"/>
      <w:lvlText w:val="%5."/>
      <w:lvlJc w:val="left"/>
      <w:pPr>
        <w:ind w:left="3600" w:hanging="480"/>
      </w:pPr>
    </w:lvl>
    <w:lvl w:ilvl="5">
      <w:start w:val="133"/>
      <w:numFmt w:val="decimal"/>
      <w:lvlText w:val="%6."/>
      <w:lvlJc w:val="left"/>
      <w:pPr>
        <w:ind w:left="4320" w:hanging="480"/>
      </w:pPr>
    </w:lvl>
    <w:lvl w:ilvl="6">
      <w:start w:val="133"/>
      <w:numFmt w:val="decimal"/>
      <w:lvlText w:val="%7."/>
      <w:lvlJc w:val="left"/>
      <w:pPr>
        <w:ind w:left="5040" w:hanging="480"/>
      </w:pPr>
    </w:lvl>
    <w:lvl w:ilvl="7">
      <w:start w:val="133"/>
      <w:numFmt w:val="decimal"/>
      <w:lvlText w:val="%8."/>
      <w:lvlJc w:val="left"/>
      <w:pPr>
        <w:ind w:left="5760" w:hanging="480"/>
      </w:pPr>
    </w:lvl>
    <w:lvl w:ilvl="8">
      <w:start w:val="133"/>
      <w:numFmt w:val="decimal"/>
      <w:lvlText w:val="%9."/>
      <w:lvlJc w:val="left"/>
      <w:pPr>
        <w:ind w:left="6480" w:hanging="480"/>
      </w:pPr>
    </w:lvl>
  </w:abstractNum>
  <w:abstractNum w:abstractNumId="99631">
    <w:nsid w:val="00A99631"/>
    <w:multiLevelType w:val="multilevel"/>
    <w:lvl w:ilvl="0">
      <w:start w:val="1"/>
      <w:numFmt w:val="upperRoman"/>
      <w:lvlText w:val="(%1)"/>
      <w:lvlJc w:val="left"/>
      <w:pPr>
        <w:ind w:left="720" w:hanging="480"/>
      </w:pPr>
    </w:lvl>
    <w:lvl w:ilvl="1">
      <w:start w:val="1"/>
      <w:numFmt w:val="upperRoman"/>
      <w:lvlText w:val="(%2)"/>
      <w:lvlJc w:val="left"/>
      <w:pPr>
        <w:ind w:left="1440" w:hanging="480"/>
      </w:pPr>
    </w:lvl>
    <w:lvl w:ilvl="2">
      <w:start w:val="1"/>
      <w:numFmt w:val="upperRoman"/>
      <w:lvlText w:val="(%3)"/>
      <w:lvlJc w:val="left"/>
      <w:pPr>
        <w:ind w:left="2160" w:hanging="480"/>
      </w:pPr>
    </w:lvl>
    <w:lvl w:ilvl="3">
      <w:start w:val="1"/>
      <w:numFmt w:val="upperRoman"/>
      <w:lvlText w:val="(%4)"/>
      <w:lvlJc w:val="left"/>
      <w:pPr>
        <w:ind w:left="2880" w:hanging="480"/>
      </w:pPr>
    </w:lvl>
    <w:lvl w:ilvl="4">
      <w:start w:val="1"/>
      <w:numFmt w:val="upperRoman"/>
      <w:lvlText w:val="(%5)"/>
      <w:lvlJc w:val="left"/>
      <w:pPr>
        <w:ind w:left="3600" w:hanging="480"/>
      </w:pPr>
    </w:lvl>
    <w:lvl w:ilvl="5">
      <w:start w:val="1"/>
      <w:numFmt w:val="upperRoman"/>
      <w:lvlText w:val="(%6)"/>
      <w:lvlJc w:val="left"/>
      <w:pPr>
        <w:ind w:left="4320" w:hanging="480"/>
      </w:pPr>
    </w:lvl>
    <w:lvl w:ilvl="6">
      <w:start w:val="1"/>
      <w:numFmt w:val="upperRoman"/>
      <w:lvlText w:val="(%7)"/>
      <w:lvlJc w:val="left"/>
      <w:pPr>
        <w:ind w:left="5040" w:hanging="480"/>
      </w:pPr>
    </w:lvl>
    <w:lvl w:ilvl="7">
      <w:start w:val="1"/>
      <w:numFmt w:val="upperRoman"/>
      <w:lvlText w:val="(%8)"/>
      <w:lvlJc w:val="left"/>
      <w:pPr>
        <w:ind w:left="5760" w:hanging="480"/>
      </w:pPr>
    </w:lvl>
    <w:lvl w:ilvl="8">
      <w:start w:val="1"/>
      <w:numFmt w:val="upperRoman"/>
      <w:lvlText w:val="(%9)"/>
      <w:lvlJc w:val="left"/>
      <w:pPr>
        <w:ind w:left="6480" w:hanging="480"/>
      </w:pPr>
    </w:lvl>
  </w:abstractNum>
  <w:abstractNum w:abstractNumId="9941138">
    <w:nsid w:val="A9941138"/>
    <w:multiLevelType w:val="multilevel"/>
    <w:lvl w:ilvl="0">
      <w:start w:val="138"/>
      <w:numFmt w:val="decimal"/>
      <w:lvlText w:val="%1."/>
      <w:lvlJc w:val="left"/>
      <w:pPr>
        <w:ind w:left="720" w:hanging="480"/>
      </w:pPr>
    </w:lvl>
    <w:lvl w:ilvl="1">
      <w:start w:val="138"/>
      <w:numFmt w:val="decimal"/>
      <w:lvlText w:val="%2."/>
      <w:lvlJc w:val="left"/>
      <w:pPr>
        <w:ind w:left="1440" w:hanging="480"/>
      </w:pPr>
    </w:lvl>
    <w:lvl w:ilvl="2">
      <w:start w:val="138"/>
      <w:numFmt w:val="decimal"/>
      <w:lvlText w:val="%3."/>
      <w:lvlJc w:val="left"/>
      <w:pPr>
        <w:ind w:left="2160" w:hanging="480"/>
      </w:pPr>
    </w:lvl>
    <w:lvl w:ilvl="3">
      <w:start w:val="138"/>
      <w:numFmt w:val="decimal"/>
      <w:lvlText w:val="%4."/>
      <w:lvlJc w:val="left"/>
      <w:pPr>
        <w:ind w:left="2880" w:hanging="480"/>
      </w:pPr>
    </w:lvl>
    <w:lvl w:ilvl="4">
      <w:start w:val="138"/>
      <w:numFmt w:val="decimal"/>
      <w:lvlText w:val="%5."/>
      <w:lvlJc w:val="left"/>
      <w:pPr>
        <w:ind w:left="3600" w:hanging="480"/>
      </w:pPr>
    </w:lvl>
    <w:lvl w:ilvl="5">
      <w:start w:val="138"/>
      <w:numFmt w:val="decimal"/>
      <w:lvlText w:val="%6."/>
      <w:lvlJc w:val="left"/>
      <w:pPr>
        <w:ind w:left="4320" w:hanging="480"/>
      </w:pPr>
    </w:lvl>
    <w:lvl w:ilvl="6">
      <w:start w:val="138"/>
      <w:numFmt w:val="decimal"/>
      <w:lvlText w:val="%7."/>
      <w:lvlJc w:val="left"/>
      <w:pPr>
        <w:ind w:left="5040" w:hanging="480"/>
      </w:pPr>
    </w:lvl>
    <w:lvl w:ilvl="7">
      <w:start w:val="138"/>
      <w:numFmt w:val="decimal"/>
      <w:lvlText w:val="%8."/>
      <w:lvlJc w:val="left"/>
      <w:pPr>
        <w:ind w:left="5760" w:hanging="480"/>
      </w:pPr>
    </w:lvl>
    <w:lvl w:ilvl="8">
      <w:start w:val="138"/>
      <w:numFmt w:val="decimal"/>
      <w:lvlText w:val="%9."/>
      <w:lvlJc w:val="left"/>
      <w:pPr>
        <w:ind w:left="6480" w:hanging="480"/>
      </w:pPr>
    </w:lvl>
  </w:abstractNum>
  <w:abstractNum w:abstractNumId="9941140">
    <w:nsid w:val="A9941140"/>
    <w:multiLevelType w:val="multilevel"/>
    <w:lvl w:ilvl="0">
      <w:start w:val="140"/>
      <w:numFmt w:val="decimal"/>
      <w:lvlText w:val="%1."/>
      <w:lvlJc w:val="left"/>
      <w:pPr>
        <w:ind w:left="720" w:hanging="480"/>
      </w:pPr>
    </w:lvl>
    <w:lvl w:ilvl="1">
      <w:start w:val="140"/>
      <w:numFmt w:val="decimal"/>
      <w:lvlText w:val="%2."/>
      <w:lvlJc w:val="left"/>
      <w:pPr>
        <w:ind w:left="1440" w:hanging="480"/>
      </w:pPr>
    </w:lvl>
    <w:lvl w:ilvl="2">
      <w:start w:val="140"/>
      <w:numFmt w:val="decimal"/>
      <w:lvlText w:val="%3."/>
      <w:lvlJc w:val="left"/>
      <w:pPr>
        <w:ind w:left="2160" w:hanging="480"/>
      </w:pPr>
    </w:lvl>
    <w:lvl w:ilvl="3">
      <w:start w:val="140"/>
      <w:numFmt w:val="decimal"/>
      <w:lvlText w:val="%4."/>
      <w:lvlJc w:val="left"/>
      <w:pPr>
        <w:ind w:left="2880" w:hanging="480"/>
      </w:pPr>
    </w:lvl>
    <w:lvl w:ilvl="4">
      <w:start w:val="140"/>
      <w:numFmt w:val="decimal"/>
      <w:lvlText w:val="%5."/>
      <w:lvlJc w:val="left"/>
      <w:pPr>
        <w:ind w:left="3600" w:hanging="480"/>
      </w:pPr>
    </w:lvl>
    <w:lvl w:ilvl="5">
      <w:start w:val="140"/>
      <w:numFmt w:val="decimal"/>
      <w:lvlText w:val="%6."/>
      <w:lvlJc w:val="left"/>
      <w:pPr>
        <w:ind w:left="4320" w:hanging="480"/>
      </w:pPr>
    </w:lvl>
    <w:lvl w:ilvl="6">
      <w:start w:val="140"/>
      <w:numFmt w:val="decimal"/>
      <w:lvlText w:val="%7."/>
      <w:lvlJc w:val="left"/>
      <w:pPr>
        <w:ind w:left="5040" w:hanging="480"/>
      </w:pPr>
    </w:lvl>
    <w:lvl w:ilvl="7">
      <w:start w:val="140"/>
      <w:numFmt w:val="decimal"/>
      <w:lvlText w:val="%8."/>
      <w:lvlJc w:val="left"/>
      <w:pPr>
        <w:ind w:left="5760" w:hanging="480"/>
      </w:pPr>
    </w:lvl>
    <w:lvl w:ilvl="8">
      <w:start w:val="140"/>
      <w:numFmt w:val="decimal"/>
      <w:lvlText w:val="%9."/>
      <w:lvlJc w:val="left"/>
      <w:pPr>
        <w:ind w:left="6480" w:hanging="480"/>
      </w:pPr>
    </w:lvl>
  </w:abstractNum>
  <w:abstractNum w:abstractNumId="9941145">
    <w:nsid w:val="A9941145"/>
    <w:multiLevelType w:val="multilevel"/>
    <w:lvl w:ilvl="0">
      <w:start w:val="145"/>
      <w:numFmt w:val="decimal"/>
      <w:lvlText w:val="%1."/>
      <w:lvlJc w:val="left"/>
      <w:pPr>
        <w:ind w:left="720" w:hanging="480"/>
      </w:pPr>
    </w:lvl>
    <w:lvl w:ilvl="1">
      <w:start w:val="145"/>
      <w:numFmt w:val="decimal"/>
      <w:lvlText w:val="%2."/>
      <w:lvlJc w:val="left"/>
      <w:pPr>
        <w:ind w:left="1440" w:hanging="480"/>
      </w:pPr>
    </w:lvl>
    <w:lvl w:ilvl="2">
      <w:start w:val="145"/>
      <w:numFmt w:val="decimal"/>
      <w:lvlText w:val="%3."/>
      <w:lvlJc w:val="left"/>
      <w:pPr>
        <w:ind w:left="2160" w:hanging="480"/>
      </w:pPr>
    </w:lvl>
    <w:lvl w:ilvl="3">
      <w:start w:val="145"/>
      <w:numFmt w:val="decimal"/>
      <w:lvlText w:val="%4."/>
      <w:lvlJc w:val="left"/>
      <w:pPr>
        <w:ind w:left="2880" w:hanging="480"/>
      </w:pPr>
    </w:lvl>
    <w:lvl w:ilvl="4">
      <w:start w:val="145"/>
      <w:numFmt w:val="decimal"/>
      <w:lvlText w:val="%5."/>
      <w:lvlJc w:val="left"/>
      <w:pPr>
        <w:ind w:left="3600" w:hanging="480"/>
      </w:pPr>
    </w:lvl>
    <w:lvl w:ilvl="5">
      <w:start w:val="145"/>
      <w:numFmt w:val="decimal"/>
      <w:lvlText w:val="%6."/>
      <w:lvlJc w:val="left"/>
      <w:pPr>
        <w:ind w:left="4320" w:hanging="480"/>
      </w:pPr>
    </w:lvl>
    <w:lvl w:ilvl="6">
      <w:start w:val="145"/>
      <w:numFmt w:val="decimal"/>
      <w:lvlText w:val="%7."/>
      <w:lvlJc w:val="left"/>
      <w:pPr>
        <w:ind w:left="5040" w:hanging="480"/>
      </w:pPr>
    </w:lvl>
    <w:lvl w:ilvl="7">
      <w:start w:val="145"/>
      <w:numFmt w:val="decimal"/>
      <w:lvlText w:val="%8."/>
      <w:lvlJc w:val="left"/>
      <w:pPr>
        <w:ind w:left="5760" w:hanging="480"/>
      </w:pPr>
    </w:lvl>
    <w:lvl w:ilvl="8">
      <w:start w:val="145"/>
      <w:numFmt w:val="decimal"/>
      <w:lvlText w:val="%9."/>
      <w:lvlJc w:val="left"/>
      <w:pPr>
        <w:ind w:left="6480" w:hanging="480"/>
      </w:pPr>
    </w:lvl>
  </w:abstractNum>
  <w:abstractNum w:abstractNumId="9941150">
    <w:nsid w:val="A9941150"/>
    <w:multiLevelType w:val="multilevel"/>
    <w:lvl w:ilvl="0">
      <w:start w:val="150"/>
      <w:numFmt w:val="decimal"/>
      <w:lvlText w:val="%1."/>
      <w:lvlJc w:val="left"/>
      <w:pPr>
        <w:ind w:left="720" w:hanging="480"/>
      </w:pPr>
    </w:lvl>
    <w:lvl w:ilvl="1">
      <w:start w:val="150"/>
      <w:numFmt w:val="decimal"/>
      <w:lvlText w:val="%2."/>
      <w:lvlJc w:val="left"/>
      <w:pPr>
        <w:ind w:left="1440" w:hanging="480"/>
      </w:pPr>
    </w:lvl>
    <w:lvl w:ilvl="2">
      <w:start w:val="150"/>
      <w:numFmt w:val="decimal"/>
      <w:lvlText w:val="%3."/>
      <w:lvlJc w:val="left"/>
      <w:pPr>
        <w:ind w:left="2160" w:hanging="480"/>
      </w:pPr>
    </w:lvl>
    <w:lvl w:ilvl="3">
      <w:start w:val="150"/>
      <w:numFmt w:val="decimal"/>
      <w:lvlText w:val="%4."/>
      <w:lvlJc w:val="left"/>
      <w:pPr>
        <w:ind w:left="2880" w:hanging="480"/>
      </w:pPr>
    </w:lvl>
    <w:lvl w:ilvl="4">
      <w:start w:val="150"/>
      <w:numFmt w:val="decimal"/>
      <w:lvlText w:val="%5."/>
      <w:lvlJc w:val="left"/>
      <w:pPr>
        <w:ind w:left="3600" w:hanging="480"/>
      </w:pPr>
    </w:lvl>
    <w:lvl w:ilvl="5">
      <w:start w:val="150"/>
      <w:numFmt w:val="decimal"/>
      <w:lvlText w:val="%6."/>
      <w:lvlJc w:val="left"/>
      <w:pPr>
        <w:ind w:left="4320" w:hanging="480"/>
      </w:pPr>
    </w:lvl>
    <w:lvl w:ilvl="6">
      <w:start w:val="150"/>
      <w:numFmt w:val="decimal"/>
      <w:lvlText w:val="%7."/>
      <w:lvlJc w:val="left"/>
      <w:pPr>
        <w:ind w:left="5040" w:hanging="480"/>
      </w:pPr>
    </w:lvl>
    <w:lvl w:ilvl="7">
      <w:start w:val="150"/>
      <w:numFmt w:val="decimal"/>
      <w:lvlText w:val="%8."/>
      <w:lvlJc w:val="left"/>
      <w:pPr>
        <w:ind w:left="5760" w:hanging="480"/>
      </w:pPr>
    </w:lvl>
    <w:lvl w:ilvl="8">
      <w:start w:val="150"/>
      <w:numFmt w:val="decimal"/>
      <w:lvlText w:val="%9."/>
      <w:lvlJc w:val="left"/>
      <w:pPr>
        <w:ind w:left="6480" w:hanging="480"/>
      </w:pPr>
    </w:lvl>
  </w:abstractNum>
  <w:abstractNum w:abstractNumId="99632">
    <w:nsid w:val="00A99632"/>
    <w:multiLevelType w:val="multilevel"/>
    <w:lvl w:ilvl="0">
      <w:start w:val="2"/>
      <w:numFmt w:val="upperRoman"/>
      <w:lvlText w:val="(%1)"/>
      <w:lvlJc w:val="left"/>
      <w:pPr>
        <w:ind w:left="720" w:hanging="480"/>
      </w:pPr>
    </w:lvl>
    <w:lvl w:ilvl="1">
      <w:start w:val="2"/>
      <w:numFmt w:val="upperRoman"/>
      <w:lvlText w:val="(%2)"/>
      <w:lvlJc w:val="left"/>
      <w:pPr>
        <w:ind w:left="1440" w:hanging="480"/>
      </w:pPr>
    </w:lvl>
    <w:lvl w:ilvl="2">
      <w:start w:val="2"/>
      <w:numFmt w:val="upperRoman"/>
      <w:lvlText w:val="(%3)"/>
      <w:lvlJc w:val="left"/>
      <w:pPr>
        <w:ind w:left="2160" w:hanging="480"/>
      </w:pPr>
    </w:lvl>
    <w:lvl w:ilvl="3">
      <w:start w:val="2"/>
      <w:numFmt w:val="upperRoman"/>
      <w:lvlText w:val="(%4)"/>
      <w:lvlJc w:val="left"/>
      <w:pPr>
        <w:ind w:left="2880" w:hanging="480"/>
      </w:pPr>
    </w:lvl>
    <w:lvl w:ilvl="4">
      <w:start w:val="2"/>
      <w:numFmt w:val="upperRoman"/>
      <w:lvlText w:val="(%5)"/>
      <w:lvlJc w:val="left"/>
      <w:pPr>
        <w:ind w:left="3600" w:hanging="480"/>
      </w:pPr>
    </w:lvl>
    <w:lvl w:ilvl="5">
      <w:start w:val="2"/>
      <w:numFmt w:val="upperRoman"/>
      <w:lvlText w:val="(%6)"/>
      <w:lvlJc w:val="left"/>
      <w:pPr>
        <w:ind w:left="4320" w:hanging="480"/>
      </w:pPr>
    </w:lvl>
    <w:lvl w:ilvl="6">
      <w:start w:val="2"/>
      <w:numFmt w:val="upperRoman"/>
      <w:lvlText w:val="(%7)"/>
      <w:lvlJc w:val="left"/>
      <w:pPr>
        <w:ind w:left="5040" w:hanging="480"/>
      </w:pPr>
    </w:lvl>
    <w:lvl w:ilvl="7">
      <w:start w:val="2"/>
      <w:numFmt w:val="upperRoman"/>
      <w:lvlText w:val="(%8)"/>
      <w:lvlJc w:val="left"/>
      <w:pPr>
        <w:ind w:left="5760" w:hanging="480"/>
      </w:pPr>
    </w:lvl>
    <w:lvl w:ilvl="8">
      <w:start w:val="2"/>
      <w:numFmt w:val="upperRoman"/>
      <w:lvlText w:val="(%9)"/>
      <w:lvlJc w:val="left"/>
      <w:pPr>
        <w:ind w:left="6480" w:hanging="480"/>
      </w:pPr>
    </w:lvl>
  </w:abstractNum>
  <w:abstractNum w:abstractNumId="99724">
    <w:nsid w:val="00A99724"/>
    <w:multiLevelType w:val="multilevel"/>
    <w:lvl w:ilvl="0">
      <w:start w:val="4"/>
      <w:numFmt w:val="lowerLetter"/>
      <w:lvlText w:val="%1)"/>
      <w:lvlJc w:val="left"/>
      <w:pPr>
        <w:ind w:left="720" w:hanging="480"/>
      </w:pPr>
    </w:lvl>
    <w:lvl w:ilvl="1">
      <w:start w:val="4"/>
      <w:numFmt w:val="lowerLetter"/>
      <w:lvlText w:val="%2)"/>
      <w:lvlJc w:val="left"/>
      <w:pPr>
        <w:ind w:left="1440" w:hanging="480"/>
      </w:pPr>
    </w:lvl>
    <w:lvl w:ilvl="2">
      <w:start w:val="4"/>
      <w:numFmt w:val="lowerLetter"/>
      <w:lvlText w:val="%3)"/>
      <w:lvlJc w:val="left"/>
      <w:pPr>
        <w:ind w:left="2160" w:hanging="480"/>
      </w:pPr>
    </w:lvl>
    <w:lvl w:ilvl="3">
      <w:start w:val="4"/>
      <w:numFmt w:val="lowerLetter"/>
      <w:lvlText w:val="%4)"/>
      <w:lvlJc w:val="left"/>
      <w:pPr>
        <w:ind w:left="2880" w:hanging="480"/>
      </w:pPr>
    </w:lvl>
    <w:lvl w:ilvl="4">
      <w:start w:val="4"/>
      <w:numFmt w:val="lowerLetter"/>
      <w:lvlText w:val="%5)"/>
      <w:lvlJc w:val="left"/>
      <w:pPr>
        <w:ind w:left="3600" w:hanging="480"/>
      </w:pPr>
    </w:lvl>
    <w:lvl w:ilvl="5">
      <w:start w:val="4"/>
      <w:numFmt w:val="lowerLetter"/>
      <w:lvlText w:val="%6)"/>
      <w:lvlJc w:val="left"/>
      <w:pPr>
        <w:ind w:left="4320" w:hanging="480"/>
      </w:pPr>
    </w:lvl>
    <w:lvl w:ilvl="6">
      <w:start w:val="4"/>
      <w:numFmt w:val="lowerLetter"/>
      <w:lvlText w:val="%7)"/>
      <w:lvlJc w:val="left"/>
      <w:pPr>
        <w:ind w:left="5040" w:hanging="480"/>
      </w:pPr>
    </w:lvl>
    <w:lvl w:ilvl="7">
      <w:start w:val="4"/>
      <w:numFmt w:val="lowerLetter"/>
      <w:lvlText w:val="%8)"/>
      <w:lvlJc w:val="left"/>
      <w:pPr>
        <w:ind w:left="5760" w:hanging="480"/>
      </w:pPr>
    </w:lvl>
    <w:lvl w:ilvl="8">
      <w:start w:val="4"/>
      <w:numFmt w:val="lowerLetter"/>
      <w:lvlText w:val="%9)"/>
      <w:lvlJc w:val="left"/>
      <w:pPr>
        <w:ind w:left="6480" w:hanging="480"/>
      </w:pPr>
    </w:lvl>
  </w:abstractNum>
  <w:abstractNum w:abstractNumId="99412">
    <w:nsid w:val="00A99412"/>
    <w:multiLevelType w:val="multilevel"/>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99831">
    <w:nsid w:val="00A9983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413">
    <w:nsid w:val="00A99413"/>
    <w:multiLevelType w:val="multilevel"/>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num w:numId="1000">
    <w:abstractNumId w:val="990"/>
  </w:num>
  <w:num w:numId="1001">
    <w:abstractNumId w:val="996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2">
    <w:abstractNumId w:val="991"/>
  </w:num>
  <w:num w:numId="1003">
    <w:abstractNumId w:val="996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4">
    <w:abstractNumId w:val="996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5">
    <w:abstractNumId w:val="9943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6">
    <w:abstractNumId w:val="994320"/>
    <w:lvlOverride w:ilvl="0">
      <w:startOverride w:val="20"/>
    </w:lvlOverride>
    <w:lvlOverride w:ilvl="1">
      <w:startOverride w:val="20"/>
    </w:lvlOverride>
    <w:lvlOverride w:ilvl="2">
      <w:startOverride w:val="20"/>
    </w:lvlOverride>
    <w:lvlOverride w:ilvl="3">
      <w:startOverride w:val="20"/>
    </w:lvlOverride>
    <w:lvlOverride w:ilvl="4">
      <w:startOverride w:val="20"/>
    </w:lvlOverride>
    <w:lvlOverride w:ilvl="5">
      <w:startOverride w:val="20"/>
    </w:lvlOverride>
    <w:lvlOverride w:ilvl="6">
      <w:startOverride w:val="20"/>
    </w:lvlOverride>
    <w:lvlOverride w:ilvl="7">
      <w:startOverride w:val="20"/>
    </w:lvlOverride>
    <w:lvlOverride w:ilvl="8">
      <w:startOverride w:val="20"/>
    </w:lvlOverride>
  </w:num>
  <w:num w:numId="1007">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8">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9">
    <w:abstractNumId w:val="9942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10">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324"/>
    <w:lvlOverride w:ilvl="0">
      <w:startOverride w:val="24"/>
    </w:lvlOverride>
    <w:lvlOverride w:ilvl="1">
      <w:startOverride w:val="24"/>
    </w:lvlOverride>
    <w:lvlOverride w:ilvl="2">
      <w:startOverride w:val="24"/>
    </w:lvlOverride>
    <w:lvlOverride w:ilvl="3">
      <w:startOverride w:val="24"/>
    </w:lvlOverride>
    <w:lvlOverride w:ilvl="4">
      <w:startOverride w:val="24"/>
    </w:lvlOverride>
    <w:lvlOverride w:ilvl="5">
      <w:startOverride w:val="24"/>
    </w:lvlOverride>
    <w:lvlOverride w:ilvl="6">
      <w:startOverride w:val="24"/>
    </w:lvlOverride>
    <w:lvlOverride w:ilvl="7">
      <w:startOverride w:val="24"/>
    </w:lvlOverride>
    <w:lvlOverride w:ilvl="8">
      <w:startOverride w:val="24"/>
    </w:lvlOverride>
  </w:num>
  <w:num w:numId="1013">
    <w:abstractNumId w:val="9943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14">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5">
    <w:abstractNumId w:val="994333"/>
    <w:lvlOverride w:ilvl="0">
      <w:startOverride w:val="33"/>
    </w:lvlOverride>
    <w:lvlOverride w:ilvl="1">
      <w:startOverride w:val="33"/>
    </w:lvlOverride>
    <w:lvlOverride w:ilvl="2">
      <w:startOverride w:val="33"/>
    </w:lvlOverride>
    <w:lvlOverride w:ilvl="3">
      <w:startOverride w:val="33"/>
    </w:lvlOverride>
    <w:lvlOverride w:ilvl="4">
      <w:startOverride w:val="33"/>
    </w:lvlOverride>
    <w:lvlOverride w:ilvl="5">
      <w:startOverride w:val="33"/>
    </w:lvlOverride>
    <w:lvlOverride w:ilvl="6">
      <w:startOverride w:val="33"/>
    </w:lvlOverride>
    <w:lvlOverride w:ilvl="7">
      <w:startOverride w:val="33"/>
    </w:lvlOverride>
    <w:lvlOverride w:ilvl="8">
      <w:startOverride w:val="33"/>
    </w:lvlOverride>
  </w:num>
  <w:num w:numId="1016">
    <w:abstractNumId w:val="9943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17">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3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20">
    <w:abstractNumId w:val="9943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21">
    <w:abstractNumId w:val="9943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22">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25">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28">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29">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30">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1"/>
  </w:num>
  <w:num w:numId="1033">
    <w:abstractNumId w:val="9973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36">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37">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38">
    <w:abstractNumId w:val="994130"/>
    <w:lvlOverride w:ilvl="0">
      <w:startOverride w:val="30"/>
    </w:lvlOverride>
    <w:lvlOverride w:ilvl="1">
      <w:startOverride w:val="30"/>
    </w:lvlOverride>
    <w:lvlOverride w:ilvl="2">
      <w:startOverride w:val="30"/>
    </w:lvlOverride>
    <w:lvlOverride w:ilvl="3">
      <w:startOverride w:val="30"/>
    </w:lvlOverride>
    <w:lvlOverride w:ilvl="4">
      <w:startOverride w:val="30"/>
    </w:lvlOverride>
    <w:lvlOverride w:ilvl="5">
      <w:startOverride w:val="30"/>
    </w:lvlOverride>
    <w:lvlOverride w:ilvl="6">
      <w:startOverride w:val="30"/>
    </w:lvlOverride>
    <w:lvlOverride w:ilvl="7">
      <w:startOverride w:val="30"/>
    </w:lvlOverride>
    <w:lvlOverride w:ilvl="8">
      <w:startOverride w:val="30"/>
    </w:lvlOverride>
  </w:num>
  <w:num w:numId="1039">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4132"/>
    <w:lvlOverride w:ilvl="0">
      <w:startOverride w:val="32"/>
    </w:lvlOverride>
    <w:lvlOverride w:ilvl="1">
      <w:startOverride w:val="32"/>
    </w:lvlOverride>
    <w:lvlOverride w:ilvl="2">
      <w:startOverride w:val="32"/>
    </w:lvlOverride>
    <w:lvlOverride w:ilvl="3">
      <w:startOverride w:val="32"/>
    </w:lvlOverride>
    <w:lvlOverride w:ilvl="4">
      <w:startOverride w:val="32"/>
    </w:lvlOverride>
    <w:lvlOverride w:ilvl="5">
      <w:startOverride w:val="32"/>
    </w:lvlOverride>
    <w:lvlOverride w:ilvl="6">
      <w:startOverride w:val="32"/>
    </w:lvlOverride>
    <w:lvlOverride w:ilvl="7">
      <w:startOverride w:val="32"/>
    </w:lvlOverride>
    <w:lvlOverride w:ilvl="8">
      <w:startOverride w:val="32"/>
    </w:lvlOverride>
  </w:num>
  <w:num w:numId="1041">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40"/>
    <w:lvlOverride w:ilvl="0">
      <w:startOverride w:val="40"/>
    </w:lvlOverride>
    <w:lvlOverride w:ilvl="1">
      <w:startOverride w:val="40"/>
    </w:lvlOverride>
    <w:lvlOverride w:ilvl="2">
      <w:startOverride w:val="40"/>
    </w:lvlOverride>
    <w:lvlOverride w:ilvl="3">
      <w:startOverride w:val="40"/>
    </w:lvlOverride>
    <w:lvlOverride w:ilvl="4">
      <w:startOverride w:val="40"/>
    </w:lvlOverride>
    <w:lvlOverride w:ilvl="5">
      <w:startOverride w:val="40"/>
    </w:lvlOverride>
    <w:lvlOverride w:ilvl="6">
      <w:startOverride w:val="40"/>
    </w:lvlOverride>
    <w:lvlOverride w:ilvl="7">
      <w:startOverride w:val="40"/>
    </w:lvlOverride>
    <w:lvlOverride w:ilvl="8">
      <w:startOverride w:val="40"/>
    </w:lvlOverride>
  </w:num>
  <w:num w:numId="1043">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4142"/>
    <w:lvlOverride w:ilvl="0">
      <w:startOverride w:val="42"/>
    </w:lvlOverride>
    <w:lvlOverride w:ilvl="1">
      <w:startOverride w:val="42"/>
    </w:lvlOverride>
    <w:lvlOverride w:ilvl="2">
      <w:startOverride w:val="42"/>
    </w:lvlOverride>
    <w:lvlOverride w:ilvl="3">
      <w:startOverride w:val="42"/>
    </w:lvlOverride>
    <w:lvlOverride w:ilvl="4">
      <w:startOverride w:val="42"/>
    </w:lvlOverride>
    <w:lvlOverride w:ilvl="5">
      <w:startOverride w:val="42"/>
    </w:lvlOverride>
    <w:lvlOverride w:ilvl="6">
      <w:startOverride w:val="42"/>
    </w:lvlOverride>
    <w:lvlOverride w:ilvl="7">
      <w:startOverride w:val="42"/>
    </w:lvlOverride>
    <w:lvlOverride w:ilvl="8">
      <w:startOverride w:val="42"/>
    </w:lvlOverride>
  </w:num>
  <w:num w:numId="1045">
    <w:abstractNumId w:val="994143"/>
    <w:lvlOverride w:ilvl="0">
      <w:startOverride w:val="43"/>
    </w:lvlOverride>
    <w:lvlOverride w:ilvl="1">
      <w:startOverride w:val="43"/>
    </w:lvlOverride>
    <w:lvlOverride w:ilvl="2">
      <w:startOverride w:val="43"/>
    </w:lvlOverride>
    <w:lvlOverride w:ilvl="3">
      <w:startOverride w:val="43"/>
    </w:lvlOverride>
    <w:lvlOverride w:ilvl="4">
      <w:startOverride w:val="43"/>
    </w:lvlOverride>
    <w:lvlOverride w:ilvl="5">
      <w:startOverride w:val="43"/>
    </w:lvlOverride>
    <w:lvlOverride w:ilvl="6">
      <w:startOverride w:val="43"/>
    </w:lvlOverride>
    <w:lvlOverride w:ilvl="7">
      <w:startOverride w:val="43"/>
    </w:lvlOverride>
    <w:lvlOverride w:ilvl="8">
      <w:startOverride w:val="43"/>
    </w:lvlOverride>
  </w:num>
  <w:num w:numId="1046">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7">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48">
    <w:abstractNumId w:val="994144"/>
    <w:lvlOverride w:ilvl="0">
      <w:startOverride w:val="44"/>
    </w:lvlOverride>
    <w:lvlOverride w:ilvl="1">
      <w:startOverride w:val="44"/>
    </w:lvlOverride>
    <w:lvlOverride w:ilvl="2">
      <w:startOverride w:val="44"/>
    </w:lvlOverride>
    <w:lvlOverride w:ilvl="3">
      <w:startOverride w:val="44"/>
    </w:lvlOverride>
    <w:lvlOverride w:ilvl="4">
      <w:startOverride w:val="44"/>
    </w:lvlOverride>
    <w:lvlOverride w:ilvl="5">
      <w:startOverride w:val="44"/>
    </w:lvlOverride>
    <w:lvlOverride w:ilvl="6">
      <w:startOverride w:val="44"/>
    </w:lvlOverride>
    <w:lvlOverride w:ilvl="7">
      <w:startOverride w:val="44"/>
    </w:lvlOverride>
    <w:lvlOverride w:ilvl="8">
      <w:startOverride w:val="44"/>
    </w:lvlOverride>
  </w:num>
  <w:num w:numId="1049">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4145"/>
    <w:lvlOverride w:ilvl="0">
      <w:startOverride w:val="45"/>
    </w:lvlOverride>
    <w:lvlOverride w:ilvl="1">
      <w:startOverride w:val="45"/>
    </w:lvlOverride>
    <w:lvlOverride w:ilvl="2">
      <w:startOverride w:val="45"/>
    </w:lvlOverride>
    <w:lvlOverride w:ilvl="3">
      <w:startOverride w:val="45"/>
    </w:lvlOverride>
    <w:lvlOverride w:ilvl="4">
      <w:startOverride w:val="45"/>
    </w:lvlOverride>
    <w:lvlOverride w:ilvl="5">
      <w:startOverride w:val="45"/>
    </w:lvlOverride>
    <w:lvlOverride w:ilvl="6">
      <w:startOverride w:val="45"/>
    </w:lvlOverride>
    <w:lvlOverride w:ilvl="7">
      <w:startOverride w:val="45"/>
    </w:lvlOverride>
    <w:lvlOverride w:ilvl="8">
      <w:startOverride w:val="45"/>
    </w:lvlOverride>
  </w:num>
  <w:num w:numId="1051">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2">
    <w:abstractNumId w:val="994151"/>
    <w:lvlOverride w:ilvl="0">
      <w:startOverride w:val="51"/>
    </w:lvlOverride>
    <w:lvlOverride w:ilvl="1">
      <w:startOverride w:val="51"/>
    </w:lvlOverride>
    <w:lvlOverride w:ilvl="2">
      <w:startOverride w:val="51"/>
    </w:lvlOverride>
    <w:lvlOverride w:ilvl="3">
      <w:startOverride w:val="51"/>
    </w:lvlOverride>
    <w:lvlOverride w:ilvl="4">
      <w:startOverride w:val="51"/>
    </w:lvlOverride>
    <w:lvlOverride w:ilvl="5">
      <w:startOverride w:val="51"/>
    </w:lvlOverride>
    <w:lvlOverride w:ilvl="6">
      <w:startOverride w:val="51"/>
    </w:lvlOverride>
    <w:lvlOverride w:ilvl="7">
      <w:startOverride w:val="51"/>
    </w:lvlOverride>
    <w:lvlOverride w:ilvl="8">
      <w:startOverride w:val="51"/>
    </w:lvlOverride>
  </w:num>
  <w:num w:numId="1053">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4154"/>
    <w:lvlOverride w:ilvl="0">
      <w:startOverride w:val="54"/>
    </w:lvlOverride>
    <w:lvlOverride w:ilvl="1">
      <w:startOverride w:val="54"/>
    </w:lvlOverride>
    <w:lvlOverride w:ilvl="2">
      <w:startOverride w:val="54"/>
    </w:lvlOverride>
    <w:lvlOverride w:ilvl="3">
      <w:startOverride w:val="54"/>
    </w:lvlOverride>
    <w:lvlOverride w:ilvl="4">
      <w:startOverride w:val="54"/>
    </w:lvlOverride>
    <w:lvlOverride w:ilvl="5">
      <w:startOverride w:val="54"/>
    </w:lvlOverride>
    <w:lvlOverride w:ilvl="6">
      <w:startOverride w:val="54"/>
    </w:lvlOverride>
    <w:lvlOverride w:ilvl="7">
      <w:startOverride w:val="54"/>
    </w:lvlOverride>
    <w:lvlOverride w:ilvl="8">
      <w:startOverride w:val="54"/>
    </w:lvlOverride>
  </w:num>
  <w:num w:numId="1055">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6">
    <w:abstractNumId w:val="994159"/>
    <w:lvlOverride w:ilvl="0">
      <w:startOverride w:val="59"/>
    </w:lvlOverride>
    <w:lvlOverride w:ilvl="1">
      <w:startOverride w:val="59"/>
    </w:lvlOverride>
    <w:lvlOverride w:ilvl="2">
      <w:startOverride w:val="59"/>
    </w:lvlOverride>
    <w:lvlOverride w:ilvl="3">
      <w:startOverride w:val="59"/>
    </w:lvlOverride>
    <w:lvlOverride w:ilvl="4">
      <w:startOverride w:val="59"/>
    </w:lvlOverride>
    <w:lvlOverride w:ilvl="5">
      <w:startOverride w:val="59"/>
    </w:lvlOverride>
    <w:lvlOverride w:ilvl="6">
      <w:startOverride w:val="59"/>
    </w:lvlOverride>
    <w:lvlOverride w:ilvl="7">
      <w:startOverride w:val="59"/>
    </w:lvlOverride>
    <w:lvlOverride w:ilvl="8">
      <w:startOverride w:val="59"/>
    </w:lvlOverride>
  </w:num>
  <w:num w:numId="1057">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4161"/>
    <w:lvlOverride w:ilvl="0">
      <w:startOverride w:val="61"/>
    </w:lvlOverride>
    <w:lvlOverride w:ilvl="1">
      <w:startOverride w:val="61"/>
    </w:lvlOverride>
    <w:lvlOverride w:ilvl="2">
      <w:startOverride w:val="61"/>
    </w:lvlOverride>
    <w:lvlOverride w:ilvl="3">
      <w:startOverride w:val="61"/>
    </w:lvlOverride>
    <w:lvlOverride w:ilvl="4">
      <w:startOverride w:val="61"/>
    </w:lvlOverride>
    <w:lvlOverride w:ilvl="5">
      <w:startOverride w:val="61"/>
    </w:lvlOverride>
    <w:lvlOverride w:ilvl="6">
      <w:startOverride w:val="61"/>
    </w:lvlOverride>
    <w:lvlOverride w:ilvl="7">
      <w:startOverride w:val="61"/>
    </w:lvlOverride>
    <w:lvlOverride w:ilvl="8">
      <w:startOverride w:val="61"/>
    </w:lvlOverride>
  </w:num>
  <w:num w:numId="1059">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62"/>
    <w:lvlOverride w:ilvl="0">
      <w:startOverride w:val="62"/>
    </w:lvlOverride>
    <w:lvlOverride w:ilvl="1">
      <w:startOverride w:val="62"/>
    </w:lvlOverride>
    <w:lvlOverride w:ilvl="2">
      <w:startOverride w:val="62"/>
    </w:lvlOverride>
    <w:lvlOverride w:ilvl="3">
      <w:startOverride w:val="62"/>
    </w:lvlOverride>
    <w:lvlOverride w:ilvl="4">
      <w:startOverride w:val="62"/>
    </w:lvlOverride>
    <w:lvlOverride w:ilvl="5">
      <w:startOverride w:val="62"/>
    </w:lvlOverride>
    <w:lvlOverride w:ilvl="6">
      <w:startOverride w:val="62"/>
    </w:lvlOverride>
    <w:lvlOverride w:ilvl="7">
      <w:startOverride w:val="62"/>
    </w:lvlOverride>
    <w:lvlOverride w:ilvl="8">
      <w:startOverride w:val="62"/>
    </w:lvlOverride>
  </w:num>
  <w:num w:numId="1061">
    <w:abstractNumId w:val="994167"/>
    <w:lvlOverride w:ilvl="0">
      <w:startOverride w:val="67"/>
    </w:lvlOverride>
    <w:lvlOverride w:ilvl="1">
      <w:startOverride w:val="67"/>
    </w:lvlOverride>
    <w:lvlOverride w:ilvl="2">
      <w:startOverride w:val="67"/>
    </w:lvlOverride>
    <w:lvlOverride w:ilvl="3">
      <w:startOverride w:val="67"/>
    </w:lvlOverride>
    <w:lvlOverride w:ilvl="4">
      <w:startOverride w:val="67"/>
    </w:lvlOverride>
    <w:lvlOverride w:ilvl="5">
      <w:startOverride w:val="67"/>
    </w:lvlOverride>
    <w:lvlOverride w:ilvl="6">
      <w:startOverride w:val="67"/>
    </w:lvlOverride>
    <w:lvlOverride w:ilvl="7">
      <w:startOverride w:val="67"/>
    </w:lvlOverride>
    <w:lvlOverride w:ilvl="8">
      <w:startOverride w:val="67"/>
    </w:lvlOverride>
  </w:num>
  <w:num w:numId="1062">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71"/>
    <w:lvlOverride w:ilvl="0">
      <w:startOverride w:val="71"/>
    </w:lvlOverride>
    <w:lvlOverride w:ilvl="1">
      <w:startOverride w:val="71"/>
    </w:lvlOverride>
    <w:lvlOverride w:ilvl="2">
      <w:startOverride w:val="71"/>
    </w:lvlOverride>
    <w:lvlOverride w:ilvl="3">
      <w:startOverride w:val="71"/>
    </w:lvlOverride>
    <w:lvlOverride w:ilvl="4">
      <w:startOverride w:val="71"/>
    </w:lvlOverride>
    <w:lvlOverride w:ilvl="5">
      <w:startOverride w:val="71"/>
    </w:lvlOverride>
    <w:lvlOverride w:ilvl="6">
      <w:startOverride w:val="71"/>
    </w:lvlOverride>
    <w:lvlOverride w:ilvl="7">
      <w:startOverride w:val="71"/>
    </w:lvlOverride>
    <w:lvlOverride w:ilvl="8">
      <w:startOverride w:val="71"/>
    </w:lvlOverride>
  </w:num>
  <w:num w:numId="1064">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74"/>
    <w:lvlOverride w:ilvl="0">
      <w:startOverride w:val="74"/>
    </w:lvlOverride>
    <w:lvlOverride w:ilvl="1">
      <w:startOverride w:val="74"/>
    </w:lvlOverride>
    <w:lvlOverride w:ilvl="2">
      <w:startOverride w:val="74"/>
    </w:lvlOverride>
    <w:lvlOverride w:ilvl="3">
      <w:startOverride w:val="74"/>
    </w:lvlOverride>
    <w:lvlOverride w:ilvl="4">
      <w:startOverride w:val="74"/>
    </w:lvlOverride>
    <w:lvlOverride w:ilvl="5">
      <w:startOverride w:val="74"/>
    </w:lvlOverride>
    <w:lvlOverride w:ilvl="6">
      <w:startOverride w:val="74"/>
    </w:lvlOverride>
    <w:lvlOverride w:ilvl="7">
      <w:startOverride w:val="74"/>
    </w:lvlOverride>
    <w:lvlOverride w:ilvl="8">
      <w:startOverride w:val="74"/>
    </w:lvlOverride>
  </w:num>
  <w:num w:numId="1066">
    <w:abstractNumId w:val="994176"/>
    <w:lvlOverride w:ilvl="0">
      <w:startOverride w:val="76"/>
    </w:lvlOverride>
    <w:lvlOverride w:ilvl="1">
      <w:startOverride w:val="76"/>
    </w:lvlOverride>
    <w:lvlOverride w:ilvl="2">
      <w:startOverride w:val="76"/>
    </w:lvlOverride>
    <w:lvlOverride w:ilvl="3">
      <w:startOverride w:val="76"/>
    </w:lvlOverride>
    <w:lvlOverride w:ilvl="4">
      <w:startOverride w:val="76"/>
    </w:lvlOverride>
    <w:lvlOverride w:ilvl="5">
      <w:startOverride w:val="76"/>
    </w:lvlOverride>
    <w:lvlOverride w:ilvl="6">
      <w:startOverride w:val="76"/>
    </w:lvlOverride>
    <w:lvlOverride w:ilvl="7">
      <w:startOverride w:val="76"/>
    </w:lvlOverride>
    <w:lvlOverride w:ilvl="8">
      <w:startOverride w:val="76"/>
    </w:lvlOverride>
  </w:num>
  <w:num w:numId="1067">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93"/>
    <w:lvlOverride w:ilvl="0">
      <w:startOverride w:val="93"/>
    </w:lvlOverride>
    <w:lvlOverride w:ilvl="1">
      <w:startOverride w:val="93"/>
    </w:lvlOverride>
    <w:lvlOverride w:ilvl="2">
      <w:startOverride w:val="93"/>
    </w:lvlOverride>
    <w:lvlOverride w:ilvl="3">
      <w:startOverride w:val="93"/>
    </w:lvlOverride>
    <w:lvlOverride w:ilvl="4">
      <w:startOverride w:val="93"/>
    </w:lvlOverride>
    <w:lvlOverride w:ilvl="5">
      <w:startOverride w:val="93"/>
    </w:lvlOverride>
    <w:lvlOverride w:ilvl="6">
      <w:startOverride w:val="93"/>
    </w:lvlOverride>
    <w:lvlOverride w:ilvl="7">
      <w:startOverride w:val="93"/>
    </w:lvlOverride>
    <w:lvlOverride w:ilvl="8">
      <w:startOverride w:val="93"/>
    </w:lvlOverride>
  </w:num>
  <w:num w:numId="1069">
    <w:abstractNumId w:val="9941105"/>
    <w:lvlOverride w:ilvl="0">
      <w:startOverride w:val="105"/>
    </w:lvlOverride>
    <w:lvlOverride w:ilvl="1">
      <w:startOverride w:val="105"/>
    </w:lvlOverride>
    <w:lvlOverride w:ilvl="2">
      <w:startOverride w:val="105"/>
    </w:lvlOverride>
    <w:lvlOverride w:ilvl="3">
      <w:startOverride w:val="105"/>
    </w:lvlOverride>
    <w:lvlOverride w:ilvl="4">
      <w:startOverride w:val="105"/>
    </w:lvlOverride>
    <w:lvlOverride w:ilvl="5">
      <w:startOverride w:val="105"/>
    </w:lvlOverride>
    <w:lvlOverride w:ilvl="6">
      <w:startOverride w:val="105"/>
    </w:lvlOverride>
    <w:lvlOverride w:ilvl="7">
      <w:startOverride w:val="105"/>
    </w:lvlOverride>
    <w:lvlOverride w:ilvl="8">
      <w:startOverride w:val="105"/>
    </w:lvlOverride>
  </w:num>
  <w:num w:numId="1070">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17"/>
    <w:lvlOverride w:ilvl="0">
      <w:startOverride w:val="117"/>
    </w:lvlOverride>
    <w:lvlOverride w:ilvl="1">
      <w:startOverride w:val="117"/>
    </w:lvlOverride>
    <w:lvlOverride w:ilvl="2">
      <w:startOverride w:val="117"/>
    </w:lvlOverride>
    <w:lvlOverride w:ilvl="3">
      <w:startOverride w:val="117"/>
    </w:lvlOverride>
    <w:lvlOverride w:ilvl="4">
      <w:startOverride w:val="117"/>
    </w:lvlOverride>
    <w:lvlOverride w:ilvl="5">
      <w:startOverride w:val="117"/>
    </w:lvlOverride>
    <w:lvlOverride w:ilvl="6">
      <w:startOverride w:val="117"/>
    </w:lvlOverride>
    <w:lvlOverride w:ilvl="7">
      <w:startOverride w:val="117"/>
    </w:lvlOverride>
    <w:lvlOverride w:ilvl="8">
      <w:startOverride w:val="117"/>
    </w:lvlOverride>
  </w:num>
  <w:num w:numId="1072">
    <w:abstractNumId w:val="9941126"/>
    <w:lvlOverride w:ilvl="0">
      <w:startOverride w:val="126"/>
    </w:lvlOverride>
    <w:lvlOverride w:ilvl="1">
      <w:startOverride w:val="126"/>
    </w:lvlOverride>
    <w:lvlOverride w:ilvl="2">
      <w:startOverride w:val="126"/>
    </w:lvlOverride>
    <w:lvlOverride w:ilvl="3">
      <w:startOverride w:val="126"/>
    </w:lvlOverride>
    <w:lvlOverride w:ilvl="4">
      <w:startOverride w:val="126"/>
    </w:lvlOverride>
    <w:lvlOverride w:ilvl="5">
      <w:startOverride w:val="126"/>
    </w:lvlOverride>
    <w:lvlOverride w:ilvl="6">
      <w:startOverride w:val="126"/>
    </w:lvlOverride>
    <w:lvlOverride w:ilvl="7">
      <w:startOverride w:val="126"/>
    </w:lvlOverride>
    <w:lvlOverride w:ilvl="8">
      <w:startOverride w:val="126"/>
    </w:lvlOverride>
  </w:num>
  <w:num w:numId="1073">
    <w:abstractNumId w:val="9941133"/>
    <w:lvlOverride w:ilvl="0">
      <w:startOverride w:val="133"/>
    </w:lvlOverride>
    <w:lvlOverride w:ilvl="1">
      <w:startOverride w:val="133"/>
    </w:lvlOverride>
    <w:lvlOverride w:ilvl="2">
      <w:startOverride w:val="133"/>
    </w:lvlOverride>
    <w:lvlOverride w:ilvl="3">
      <w:startOverride w:val="133"/>
    </w:lvlOverride>
    <w:lvlOverride w:ilvl="4">
      <w:startOverride w:val="133"/>
    </w:lvlOverride>
    <w:lvlOverride w:ilvl="5">
      <w:startOverride w:val="133"/>
    </w:lvlOverride>
    <w:lvlOverride w:ilvl="6">
      <w:startOverride w:val="133"/>
    </w:lvlOverride>
    <w:lvlOverride w:ilvl="7">
      <w:startOverride w:val="133"/>
    </w:lvlOverride>
    <w:lvlOverride w:ilvl="8">
      <w:startOverride w:val="133"/>
    </w:lvlOverride>
  </w:num>
  <w:num w:numId="1074">
    <w:abstractNumId w:val="996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5">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76">
    <w:abstractNumId w:val="9941138"/>
    <w:lvlOverride w:ilvl="0">
      <w:startOverride w:val="138"/>
    </w:lvlOverride>
    <w:lvlOverride w:ilvl="1">
      <w:startOverride w:val="138"/>
    </w:lvlOverride>
    <w:lvlOverride w:ilvl="2">
      <w:startOverride w:val="138"/>
    </w:lvlOverride>
    <w:lvlOverride w:ilvl="3">
      <w:startOverride w:val="138"/>
    </w:lvlOverride>
    <w:lvlOverride w:ilvl="4">
      <w:startOverride w:val="138"/>
    </w:lvlOverride>
    <w:lvlOverride w:ilvl="5">
      <w:startOverride w:val="138"/>
    </w:lvlOverride>
    <w:lvlOverride w:ilvl="6">
      <w:startOverride w:val="138"/>
    </w:lvlOverride>
    <w:lvlOverride w:ilvl="7">
      <w:startOverride w:val="138"/>
    </w:lvlOverride>
    <w:lvlOverride w:ilvl="8">
      <w:startOverride w:val="138"/>
    </w:lvlOverride>
  </w:num>
  <w:num w:numId="1077">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8">
    <w:abstractNumId w:val="9941140"/>
    <w:lvlOverride w:ilvl="0">
      <w:startOverride w:val="140"/>
    </w:lvlOverride>
    <w:lvlOverride w:ilvl="1">
      <w:startOverride w:val="140"/>
    </w:lvlOverride>
    <w:lvlOverride w:ilvl="2">
      <w:startOverride w:val="140"/>
    </w:lvlOverride>
    <w:lvlOverride w:ilvl="3">
      <w:startOverride w:val="140"/>
    </w:lvlOverride>
    <w:lvlOverride w:ilvl="4">
      <w:startOverride w:val="140"/>
    </w:lvlOverride>
    <w:lvlOverride w:ilvl="5">
      <w:startOverride w:val="140"/>
    </w:lvlOverride>
    <w:lvlOverride w:ilvl="6">
      <w:startOverride w:val="140"/>
    </w:lvlOverride>
    <w:lvlOverride w:ilvl="7">
      <w:startOverride w:val="140"/>
    </w:lvlOverride>
    <w:lvlOverride w:ilvl="8">
      <w:startOverride w:val="140"/>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45"/>
    <w:lvlOverride w:ilvl="0">
      <w:startOverride w:val="145"/>
    </w:lvlOverride>
    <w:lvlOverride w:ilvl="1">
      <w:startOverride w:val="145"/>
    </w:lvlOverride>
    <w:lvlOverride w:ilvl="2">
      <w:startOverride w:val="145"/>
    </w:lvlOverride>
    <w:lvlOverride w:ilvl="3">
      <w:startOverride w:val="145"/>
    </w:lvlOverride>
    <w:lvlOverride w:ilvl="4">
      <w:startOverride w:val="145"/>
    </w:lvlOverride>
    <w:lvlOverride w:ilvl="5">
      <w:startOverride w:val="145"/>
    </w:lvlOverride>
    <w:lvlOverride w:ilvl="6">
      <w:startOverride w:val="145"/>
    </w:lvlOverride>
    <w:lvlOverride w:ilvl="7">
      <w:startOverride w:val="145"/>
    </w:lvlOverride>
    <w:lvlOverride w:ilvl="8">
      <w:startOverride w:val="145"/>
    </w:lvlOverride>
  </w:num>
  <w:num w:numId="1081">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50"/>
    <w:lvlOverride w:ilvl="0">
      <w:startOverride w:val="150"/>
    </w:lvlOverride>
    <w:lvlOverride w:ilvl="1">
      <w:startOverride w:val="150"/>
    </w:lvlOverride>
    <w:lvlOverride w:ilvl="2">
      <w:startOverride w:val="150"/>
    </w:lvlOverride>
    <w:lvlOverride w:ilvl="3">
      <w:startOverride w:val="150"/>
    </w:lvlOverride>
    <w:lvlOverride w:ilvl="4">
      <w:startOverride w:val="150"/>
    </w:lvlOverride>
    <w:lvlOverride w:ilvl="5">
      <w:startOverride w:val="150"/>
    </w:lvlOverride>
    <w:lvlOverride w:ilvl="6">
      <w:startOverride w:val="150"/>
    </w:lvlOverride>
    <w:lvlOverride w:ilvl="7">
      <w:startOverride w:val="150"/>
    </w:lvlOverride>
    <w:lvlOverride w:ilvl="8">
      <w:startOverride w:val="150"/>
    </w:lvlOverride>
  </w:num>
  <w:num w:numId="1083">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91">
    <w:abstractNumId w:val="996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6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6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6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6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6">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6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98">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6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0">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03">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04">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7">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9">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0">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1">
    <w:abstractNumId w:val="9943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3">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5">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6">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7">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8">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9">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0">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1">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2">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3">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4">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5">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6">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7">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8">
    <w:abstractNumId w:val="9972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29">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0">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1">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2">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3">
    <w:abstractNumId w:val="996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4">
    <w:abstractNumId w:val="998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8">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0">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1">
    <w:abstractNumId w:val="9943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42">
    <w:abstractNumId w:val="996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6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45">
    <w:abstractNumId w:val="996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color w:val="345A8A"/>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Cs/>
      <w:i/>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 Text"/>
    <w:next w:val="Footnote 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2026-09-26T02:48:35Z</dcterms:created>
  <dcterms:modified xsi:type="dcterms:W3CDTF">2026-09-26T02:48:35Z</dcterms:modified>
</cp:coreProperties>
</file>

<file path=docProps/custom.xml><?xml version="1.0" encoding="utf-8"?>
<Properties xmlns="http://schemas.openxmlformats.org/officeDocument/2006/custom-properties" xmlns:vt="http://schemas.openxmlformats.org/officeDocument/2006/docPropsVTypes"/>
</file>