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200" w:before="80"/>
        <w:jc w:val="center"/>
      </w:pPr>
      <w:r>
        <w:rPr>
          <w:rFonts w:ascii="DejaVu Serif" w:hAnsi="DejaVu Serif" w:eastAsia="Noto Serif CJK SC"/>
          <w:b/>
          <w:color w:val="000000"/>
          <w:sz w:val="60"/>
        </w:rPr>
        <w:t>CHARTER OF LIFE ACTION</w:t>
      </w:r>
    </w:p>
    <w:p>
      <w:pPr>
        <w:spacing w:after="200" w:before="0"/>
        <w:jc w:val="center"/>
      </w:pPr>
      <w:r>
        <w:rPr>
          <w:rFonts w:ascii="DejaVu Serif" w:hAnsi="DejaVu Serif" w:eastAsia="Noto Sans CJK SC"/>
          <w:b w:val="0"/>
          <w:color w:val="C00000"/>
          <w:sz w:val="24"/>
        </w:rPr>
        <w:t>——————————————</w:t>
      </w:r>
    </w:p>
    <w:p>
      <w:pPr>
        <w:spacing w:after="200" w:before="0"/>
        <w:jc w:val="center"/>
      </w:pPr>
      <w:r>
        <w:rPr>
          <w:rFonts w:ascii="DejaVu Serif" w:hAnsi="DejaVu Serif" w:eastAsia="Noto Sans CJK SC"/>
          <w:b/>
          <w:color w:val="C00000"/>
          <w:sz w:val="30"/>
        </w:rPr>
        <w:t>Annotated Edition · 2026-09-26</w:t>
      </w:r>
    </w:p>
    <w:p>
      <w:pPr>
        <w:spacing w:after="200" w:before="0"/>
        <w:jc w:val="center"/>
      </w:pPr>
      <w:r>
        <w:rPr>
          <w:rFonts w:ascii="DejaVu Serif" w:hAnsi="DejaVu Serif" w:eastAsia="Noto Sans CJK SC"/>
          <w:b w:val="0"/>
          <w:color w:val="C00000"/>
          <w:sz w:val="24"/>
        </w:rPr>
        <w:t>——————————————</w:t>
      </w: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r>
        <w:rPr>
          <w:rFonts w:ascii="DejaVu Serif" w:hAnsi="DejaVu Serif" w:eastAsia="Noto Sans CJK SC"/>
          <w:b/>
          <w:color w:val="000000"/>
          <w:sz w:val="26"/>
        </w:rPr>
        <w:t>制 定 人：孙 雨 钧</w:t>
      </w:r>
    </w:p>
    <w:p>
      <w:pPr>
        <w:spacing w:after="120" w:before="0"/>
        <w:jc w:val="center"/>
      </w:pPr>
      <w:r>
        <w:rPr>
          <w:rFonts w:ascii="DejaVu Serif" w:hAnsi="DejaVu Serif" w:eastAsia="Noto Sans CJK SC"/>
          <w:b/>
          <w:color w:val="C00000"/>
          <w:sz w:val="26"/>
        </w:rPr>
        <w:t>26 September 2026</w:t>
      </w:r>
    </w:p>
    <w:p>
      <w:r>
        <w:br w:type="page"/>
      </w:r>
    </w:p>
    <w:bookmarkStart w:id="20" w:name="X3fb3cf203d3c148ba64d3dfae2a8831e64e0311"/>
    <w:p>
      <w:pPr>
        <w:pStyle w:val="Heading1"/>
        <w:spacing w:after="240" w:line="312" w:lineRule="auto"/>
        <w:jc w:val="center"/>
      </w:pPr>
      <w:r>
        <w:rPr>
          <w:rFonts w:ascii="DejaVu Serif" w:hAnsi="DejaVu Serif" w:eastAsia="Noto Serif CJK SC"/>
          <w:color w:val="000000"/>
          <w:sz w:val="34"/>
        </w:rPr>
        <w:t xml:space="preserve">Annotated Consolidated Edition of the Charter of Life Action (2026-09-26)</w:t>
      </w:r>
    </w:p>
    <w:p>
      <w:pPr>
        <w:pStyle w:val="FirstParagraph"/>
        <w:spacing w:after="120" w:line="312" w:lineRule="auto"/>
      </w:pPr>
      <w:r>
        <w:rPr>
          <w:rFonts w:ascii="DejaVu Serif" w:hAnsi="DejaVu Serif" w:eastAsia="Noto Serif CJK SC"/>
          <w:b/>
          <w:bCs/>
          <w:color w:val="000000"/>
          <w:sz w:val="22"/>
        </w:rPr>
        <w:t xml:space="preserve">The Charter of Life Action for Cosmopolitanization, Globalization and Internationalization (60th Principled Final Revision) — Main Text · with Commentary in the Style of the Tang Code with Sub-commentary</w:t>
      </w:r>
    </w:p>
    <w:p>
      <w:pPr>
        <w:pStyle w:val="BodyText"/>
        <w:spacing w:after="120" w:line="312" w:lineRule="auto"/>
      </w:pPr>
      <w:r>
        <w:rPr>
          <w:rFonts w:ascii="DejaVu Serif" w:hAnsi="DejaVu Serif" w:eastAsia="Noto Serif CJK SC"/>
          <w:b/>
          <w:bCs/>
          <w:color w:val="000000"/>
          <w:sz w:val="22"/>
        </w:rPr>
        <w:t xml:space="preserve">Editorial Basis</w:t>
      </w:r>
      <w:r>
        <w:rPr>
          <w:rFonts w:ascii="DejaVu Serif" w:hAnsi="DejaVu Serif" w:eastAsia="Noto Serif CJK SC"/>
          <w:color w:val="000000"/>
          <w:sz w:val="22"/>
        </w:rPr>
        <w:t xml:space="preserve">: The Commentary on the Charter of Life Action (in the format of the Tang Code with Sub-commentary · consolidated master edition; date of compilation 25 September 2026)</w:t>
      </w:r>
    </w:p>
    <w:p>
      <w:pPr>
        <w:pStyle w:val="BodyText"/>
        <w:spacing w:after="120" w:line="312" w:lineRule="auto"/>
      </w:pPr>
      <w:r>
        <w:rPr>
          <w:rFonts w:ascii="DejaVu Serif" w:hAnsi="DejaVu Serif" w:eastAsia="Noto Serif CJK SC"/>
          <w:b/>
          <w:bCs/>
          <w:color w:val="000000"/>
          <w:sz w:val="22"/>
        </w:rPr>
        <w:t xml:space="preserve">Version</w:t>
      </w:r>
      <w:r>
        <w:rPr>
          <w:rFonts w:ascii="DejaVu Serif" w:hAnsi="DejaVu Serif" w:eastAsia="Noto Serif CJK SC"/>
          <w:color w:val="000000"/>
          <w:sz w:val="22"/>
        </w:rPr>
        <w:t xml:space="preserve">: Main Text (2026-09-26 edition); Commentary (2026-09-25 edition). Format: the Main Text is the warp and the Commentary the weft; after each article’s text follows that article’s 【Commentary】 note.</w:t>
      </w:r>
    </w:p>
    <w:p>
      <w:pPr>
        <w:spacing w:after="120" w:line="312" w:lineRule="auto"/>
      </w:pPr>
      <w:r>
        <w:rPr>
          <w:rFonts w:ascii="DejaVu Serif" w:hAnsi="DejaVu Serif" w:eastAsia="Noto Serif CJK SC"/>
          <w:color w:val="000000"/>
          <w:sz w:val="22"/>
        </w:rPr>
        <w:pict>
          <v:rect style="width:0;height:1.5pt" o:hralign="center" o:hrstd="t" o:hr="t"/>
        </w:pict>
      </w:r>
    </w:p>
    <w:bookmarkEnd w:id="20"/>
    <w:bookmarkStart w:id="23" w:name="X2f02b40603c3fccd012272a1a9108fafe6959ef"/>
    <w:p>
      <w:pPr>
        <w:pStyle w:val="Heading1"/>
        <w:spacing w:after="240" w:line="312" w:lineRule="auto"/>
        <w:jc w:val="center"/>
      </w:pPr>
      <w:r>
        <w:rPr>
          <w:rFonts w:ascii="DejaVu Serif" w:hAnsi="DejaVu Serif" w:eastAsia="Noto Serif CJK SC"/>
          <w:color w:val="000000"/>
          <w:sz w:val="34"/>
        </w:rPr>
        <w:t xml:space="preserve">Volume Front: Introduction to the Commentary</w:t>
      </w:r>
    </w:p>
    <w:bookmarkStart w:id="21" w:name="general-rules"/>
    <w:p>
      <w:pPr>
        <w:pStyle w:val="Heading2"/>
        <w:spacing w:after="160" w:line="312" w:lineRule="auto"/>
        <w:jc w:val="left"/>
      </w:pPr>
      <w:r>
        <w:rPr>
          <w:rFonts w:ascii="DejaVu Serif" w:hAnsi="DejaVu Serif" w:eastAsia="Noto Serif CJK SC"/>
          <w:color w:val="000000"/>
          <w:sz w:val="30"/>
        </w:rPr>
        <w:t xml:space="preserve">General Rules</w:t>
      </w:r>
    </w:p>
    <w:p>
      <w:pPr>
        <w:numPr>
          <w:ilvl w:val="0"/>
          <w:numId w:val="1001"/>
        </w:numPr>
        <w:spacing w:after="120" w:line="312" w:lineRule="auto"/>
      </w:pPr>
      <w:r>
        <w:rPr>
          <w:rFonts w:ascii="DejaVu Serif" w:hAnsi="DejaVu Serif" w:eastAsia="Noto Serif CJK SC"/>
          <w:b/>
          <w:bCs/>
          <w:color w:val="000000"/>
          <w:sz w:val="22"/>
        </w:rPr>
        <w:t xml:space="preserve">The nature of this Commentary</w:t>
      </w:r>
      <w:r>
        <w:rPr>
          <w:rFonts w:ascii="DejaVu Serif" w:hAnsi="DejaVu Serif" w:eastAsia="Noto Serif CJK SC"/>
          <w:color w:val="000000"/>
          <w:sz w:val="22"/>
        </w:rPr>
        <w:t xml:space="preserve">: This Commentary is a systematic interpretive text on the system of the Charter of Life Action (Main Charter + Amendments + Annexes); it is an auxiliary tool for understanding and for uniform application, and does not itself constitute any amendment, supplement or alteration of the Charter’s text; the provisions remain subject to the authoritative text signed by the Author. What is called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currently in force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determined by what is recorded in the Complete Catalogue of the Subject and Annex System of the Charter of Life Action (Final Updated Edition · 20260822).</w:t>
      </w:r>
    </w:p>
    <w:p>
      <w:pPr>
        <w:numPr>
          <w:ilvl w:val="0"/>
          <w:numId w:val="1001"/>
        </w:numPr>
        <w:spacing w:after="120" w:line="312" w:lineRule="auto"/>
      </w:pPr>
      <w:r>
        <w:rPr>
          <w:rFonts w:ascii="DejaVu Serif" w:hAnsi="DejaVu Serif" w:eastAsia="Noto Serif CJK SC"/>
          <w:b/>
          <w:bCs/>
          <w:color w:val="000000"/>
          <w:sz w:val="22"/>
        </w:rPr>
        <w:t xml:space="preserve">The format of this Commentary</w:t>
      </w:r>
      <w:r>
        <w:rPr>
          <w:rFonts w:ascii="DejaVu Serif" w:hAnsi="DejaVu Serif" w:eastAsia="Noto Serif CJK SC"/>
          <w:color w:val="000000"/>
          <w:sz w:val="22"/>
        </w:rPr>
        <w:t xml:space="preserve">: Following the Tang Code with Sub-commentary, each article is divided into:</w:t>
      </w:r>
    </w:p>
    <w:p>
      <w:pPr>
        <w:pStyle w:val="Compact"/>
        <w:numPr>
          <w:ilvl w:val="0"/>
          <w:numId w:val="1002"/>
        </w:numPr>
        <w:spacing w:after="120" w:line="312" w:lineRule="auto"/>
      </w:pPr>
      <w:r>
        <w:rPr>
          <w:rFonts w:ascii="DejaVu Serif" w:hAnsi="DejaVu Serif" w:eastAsia="Noto Serif CJK SC"/>
          <w:color w:val="000000"/>
          <w:sz w:val="22"/>
        </w:rPr>
        <w:t xml:space="preserve">【Statute】 — the original text of the provision (transcribed verbatim; where exceptionally lengthy enumerative text exists, its gist is excerpted, with a note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full text is subject to the authoritative text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Compact"/>
        <w:numPr>
          <w:ilvl w:val="0"/>
          <w:numId w:val="1002"/>
        </w:numPr>
        <w:spacing w:after="120" w:line="312" w:lineRule="auto"/>
      </w:pPr>
      <w:r>
        <w:rPr>
          <w:rFonts w:ascii="DejaVu Serif" w:hAnsi="DejaVu Serif" w:eastAsia="Noto Serif CJK SC"/>
          <w:color w:val="000000"/>
          <w:sz w:val="22"/>
        </w:rPr>
        <w:t xml:space="preserve">【Commentary】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Commentary says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(shuyi yue), explaining the purpose for which the article was established, the institutional evolution, and its position within the Charter system;</w:t>
      </w:r>
    </w:p>
    <w:p>
      <w:pPr>
        <w:pStyle w:val="Compact"/>
        <w:numPr>
          <w:ilvl w:val="0"/>
          <w:numId w:val="1002"/>
        </w:numPr>
        <w:spacing w:after="120" w:line="312" w:lineRule="auto"/>
      </w:pPr>
      <w:r>
        <w:rPr>
          <w:rFonts w:ascii="DejaVu Serif" w:hAnsi="DejaVu Serif" w:eastAsia="Noto Serif CJK SC"/>
          <w:color w:val="000000"/>
          <w:sz w:val="22"/>
        </w:rPr>
        <w:t xml:space="preserve">【Discussion】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Discussion says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(yi yue), explaining sentence by sentence and word by word the meaning of the provisions, the rules of application, and exceptional circumstances;</w:t>
      </w:r>
    </w:p>
    <w:p>
      <w:pPr>
        <w:pStyle w:val="Compact"/>
        <w:numPr>
          <w:ilvl w:val="0"/>
          <w:numId w:val="1002"/>
        </w:numPr>
        <w:spacing w:after="120" w:line="312" w:lineRule="auto"/>
      </w:pPr>
      <w:r>
        <w:rPr>
          <w:rFonts w:ascii="DejaVu Serif" w:hAnsi="DejaVu Serif" w:eastAsia="Noto Serif CJK SC"/>
          <w:color w:val="000000"/>
          <w:sz w:val="22"/>
        </w:rPr>
        <w:t xml:space="preserve">【Question】【Answer】 — where a meaning is doubtful or an application disputed, a question and answer are set to resolve it;</w:t>
      </w:r>
    </w:p>
    <w:p>
      <w:pPr>
        <w:pStyle w:val="Compact"/>
        <w:numPr>
          <w:ilvl w:val="0"/>
          <w:numId w:val="1002"/>
        </w:numPr>
        <w:spacing w:after="120" w:line="312" w:lineRule="auto"/>
      </w:pPr>
      <w:r>
        <w:rPr>
          <w:rFonts w:ascii="DejaVu Serif" w:hAnsi="DejaVu Serif" w:eastAsia="Noto Serif CJK SC"/>
          <w:color w:val="000000"/>
          <w:sz w:val="22"/>
        </w:rPr>
        <w:t xml:space="preserve">【Cross-ref】 — marking the provisions, amendments or annexes related to the article, so as to permit mutual verification.</w:t>
      </w:r>
    </w:p>
    <w:p>
      <w:pPr>
        <w:numPr>
          <w:ilvl w:val="0"/>
          <w:numId w:val="1003"/>
        </w:numPr>
        <w:spacing w:after="120" w:line="312" w:lineRule="auto"/>
      </w:pPr>
      <w:r>
        <w:rPr>
          <w:rFonts w:ascii="DejaVu Serif" w:hAnsi="DejaVu Serif" w:eastAsia="Noto Serif CJK SC"/>
          <w:b/>
          <w:bCs/>
          <w:color w:val="000000"/>
          <w:sz w:val="22"/>
        </w:rPr>
        <w:t xml:space="preserve">The arrangement of the volumes</w:t>
      </w:r>
      <w:r>
        <w:rPr>
          <w:rFonts w:ascii="DejaVu Serif" w:hAnsi="DejaVu Serif" w:eastAsia="Noto Serif CJK SC"/>
          <w:color w:val="000000"/>
          <w:sz w:val="22"/>
        </w:rPr>
        <w:t xml:space="preserve">: The Main Charter, by its content and drawing on the spirit of the chapter divisions of the Tang Code with Sub-commentary, is divided into twelve volumes; the amendment system into one volume (with eleven sections); the annex system into nine volumes. The ordering of the volumes is detailed in the Table of Volumes.</w:t>
      </w:r>
    </w:p>
    <w:p>
      <w:pPr>
        <w:numPr>
          <w:ilvl w:val="0"/>
          <w:numId w:val="1003"/>
        </w:numPr>
        <w:spacing w:after="120" w:line="312" w:lineRule="auto"/>
      </w:pPr>
      <w:r>
        <w:rPr>
          <w:rFonts w:ascii="DejaVu Serif" w:hAnsi="DejaVu Serif" w:eastAsia="Noto Serif CJK SC"/>
          <w:b/>
          <w:bCs/>
          <w:color w:val="000000"/>
          <w:sz w:val="22"/>
        </w:rPr>
        <w:t xml:space="preserve">Application of terminology</w:t>
      </w:r>
      <w:r>
        <w:rPr>
          <w:rFonts w:ascii="DejaVu Serif" w:hAnsi="DejaVu Serif" w:eastAsia="Noto Serif CJK SC"/>
          <w:color w:val="000000"/>
          <w:sz w:val="22"/>
        </w:rPr>
        <w:t xml:space="preserve">: At the end of the Charter’s text it is expressly provided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all references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employee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this text, whether or not specially stated, shall mean one or more of civil and commercial partners, civil and commercial cooperators, and employees (the same throughout)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This Commentary follows this principle in all respects: wherever expressions concern organization and manpower, compliant terms such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company member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partner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cooperator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governance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collaboration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review and countersignature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uniformly used, and expressions of the employment system or the hierarchical-bureaucratic system are not adopted. Only where 【Statute】 transcribes the original text are the old terms in the original retained as written, in order to make the contrast clear; under the exemption clause of the comparison table of the TERM-REVIEW-001 General Rules for Terminology-Consistency Review, their very appearance is itself compliant and is not regarded as a violation.</w:t>
      </w:r>
    </w:p>
    <w:p>
      <w:pPr>
        <w:numPr>
          <w:ilvl w:val="0"/>
          <w:numId w:val="1003"/>
        </w:numPr>
        <w:spacing w:after="120" w:line="312" w:lineRule="auto"/>
      </w:pPr>
      <w:r>
        <w:rPr>
          <w:rFonts w:ascii="DejaVu Serif" w:hAnsi="DejaVu Serif" w:eastAsia="Noto Serif CJK SC"/>
          <w:b/>
          <w:bCs/>
          <w:color w:val="000000"/>
          <w:sz w:val="22"/>
        </w:rPr>
        <w:t xml:space="preserve">Basis of citation</w:t>
      </w:r>
      <w:r>
        <w:rPr>
          <w:rFonts w:ascii="DejaVu Serif" w:hAnsi="DejaVu Serif" w:eastAsia="Noto Serif CJK SC"/>
          <w:color w:val="000000"/>
          <w:sz w:val="22"/>
        </w:rPr>
        <w:t xml:space="preserve">: This Commentary cites only currently effective formal documents, namely: the Main Charter (including the currently effective portions of successive amendments), the documents of the amendment system, the documents of the annex system, and interpretation letters and interpretive documents that have taken effect through formal procedures. Appended materials (Part Four · documents requiring filing), analytical and summary-type documents, and repealed historical versions are not cited at all.</w:t>
      </w:r>
    </w:p>
    <w:p>
      <w:pPr>
        <w:numPr>
          <w:ilvl w:val="0"/>
          <w:numId w:val="1003"/>
        </w:numPr>
        <w:spacing w:after="120" w:line="312" w:lineRule="auto"/>
      </w:pPr>
      <w:r>
        <w:rPr>
          <w:rFonts w:ascii="DejaVu Serif" w:hAnsi="DejaVu Serif" w:eastAsia="Noto Serif CJK SC"/>
          <w:b/>
          <w:bCs/>
          <w:color w:val="000000"/>
          <w:sz w:val="22"/>
        </w:rPr>
        <w:t xml:space="preserve">Versions and evolution</w:t>
      </w:r>
      <w:r>
        <w:rPr>
          <w:rFonts w:ascii="DejaVu Serif" w:hAnsi="DejaVu Serif" w:eastAsia="Noto Serif CJK SC"/>
          <w:color w:val="000000"/>
          <w:sz w:val="22"/>
        </w:rPr>
        <w:t xml:space="preserve">: The Charter system adopts the conflict rules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 rules prevail over old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special prevails over general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Where a provision has been modified by an amendment, a corrective act or a revision, this Commentary notes the evolution in 【Commentary】 and 【Cross-ref】; where article numbers have been adjusted in successive revisions, a 【Legislative History】 note is set at the end of the article, and its application is determined in accordance with Article 126 【The Principle of Applying the Latest Charter】.</w:t>
      </w:r>
    </w:p>
    <w:p>
      <w:pPr>
        <w:spacing w:after="120" w:line="312" w:lineRule="auto"/>
      </w:pPr>
      <w:r>
        <w:rPr>
          <w:rFonts w:ascii="DejaVu Serif" w:hAnsi="DejaVu Serif" w:eastAsia="Noto Serif CJK SC"/>
          <w:color w:val="000000"/>
          <w:sz w:val="22"/>
        </w:rPr>
        <w:pict>
          <v:rect style="width:0;height:1.5pt" o:hralign="center" o:hrstd="t" o:hr="t"/>
        </w:pict>
      </w:r>
    </w:p>
    <w:bookmarkEnd w:id="21"/>
    <w:bookmarkStart w:id="22" w:name="consolidated-general-preface"/>
    <w:p>
      <w:pPr>
        <w:pStyle w:val="Heading2"/>
        <w:spacing w:after="160" w:line="312" w:lineRule="auto"/>
        <w:jc w:val="left"/>
      </w:pPr>
      <w:r>
        <w:rPr>
          <w:rFonts w:ascii="DejaVu Serif" w:hAnsi="DejaVu Serif" w:eastAsia="Noto Serif CJK SC"/>
          <w:color w:val="000000"/>
          <w:sz w:val="30"/>
        </w:rPr>
        <w:t xml:space="preserve">Consolidated General Preface</w:t>
      </w:r>
    </w:p>
    <w:p>
      <w:pPr>
        <w:pStyle w:val="FirstParagraph"/>
        <w:spacing w:after="120" w:line="312" w:lineRule="auto"/>
      </w:pPr>
      <w:r>
        <w:rPr>
          <w:rFonts w:ascii="DejaVu Serif" w:hAnsi="DejaVu Serif" w:eastAsia="Noto Serif CJK SC"/>
          <w:color w:val="000000"/>
          <w:sz w:val="22"/>
        </w:rPr>
        <w:t xml:space="preserve">The Commentary says: In any book of a charter, one first gives the general and then the particular, the root and then the branches, and only then does it form a system. Now, upon instruction, the Commentary on the Main Charter, the Commentary on the Amendments and the Commentary on the Annexes have been consolidated into one and compiled into a single book. The order of its arrangement, according to the hierarchy of effect and the nature of the documents, is divided into three parts:</w:t>
      </w:r>
    </w:p>
    <w:p>
      <w:pPr>
        <w:pStyle w:val="BodyText"/>
        <w:spacing w:after="120" w:line="312" w:lineRule="auto"/>
      </w:pPr>
      <w:r>
        <w:rPr>
          <w:rFonts w:ascii="DejaVu Serif" w:hAnsi="DejaVu Serif" w:eastAsia="Noto Serif CJK SC"/>
          <w:b/>
          <w:bCs/>
          <w:color w:val="000000"/>
          <w:sz w:val="22"/>
        </w:rPr>
        <w:t xml:space="preserve">Part One — The Main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article-by-article commentary on Articles 1 to 145 of the Main Charter, in twelve volumes. Beginning with Volume One, the Chapter on Names and Purposes, it passes through the Chapter on the Ideal Life, the Chapter on the Baseline of Life, the Chapter on Survival and Core Assets, the Chapter on Core Principles of Action, the Chapter on Career and Business, the Chapter on Debt Repayment, the Chapter on Thinking Models, the Chapter on Civil Activities and Political Neutrality, the Chapter on Intellectual Property and Marriage and Family, and the Chapter on Growth and Iteration, and ends with Volume Twelve, the Chapter on Supplementary Provisions and Civilizational Belief. The Main Charter is the fundamental law of the system; the entire philosophical foundation, ranking of values, baseline of conduct and ultimate goal of life are all contained in this part.</w:t>
      </w:r>
    </w:p>
    <w:p>
      <w:pPr>
        <w:pStyle w:val="BodyText"/>
        <w:spacing w:after="120" w:line="312" w:lineRule="auto"/>
      </w:pPr>
      <w:r>
        <w:rPr>
          <w:rFonts w:ascii="DejaVu Serif" w:hAnsi="DejaVu Serif" w:eastAsia="Noto Serif CJK SC"/>
          <w:b/>
          <w:bCs/>
          <w:color w:val="000000"/>
          <w:sz w:val="22"/>
        </w:rPr>
        <w:t xml:space="preserve">Part Two — The Amendment System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the commentary on the First to Third Amendments, the Amendment 20240609, the Supplementary Amendment on the Boundaries of Helping Others, Corrective Act (2), Corrective Act (3), Annex A.06.001 the Civil-Cooperation Amendment, the newly added provision of Article 144 on the Binary Iron Rule of Organizational Participation, and Corrective Acts (4) and (5), in one volume with eleven sections.</w:t>
      </w:r>
    </w:p>
    <w:p>
      <w:pPr>
        <w:pStyle w:val="BodyText"/>
        <w:spacing w:after="120" w:line="312" w:lineRule="auto"/>
      </w:pPr>
      <w:r>
        <w:rPr>
          <w:rFonts w:ascii="DejaVu Serif" w:hAnsi="DejaVu Serif" w:eastAsia="Noto Serif CJK SC"/>
          <w:b/>
          <w:bCs/>
          <w:color w:val="000000"/>
          <w:sz w:val="22"/>
        </w:rPr>
        <w:t xml:space="preserve">Part Three — The Annex System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the commentary on Series A (Individual Ethics and Life) to Series H (Interpretation Letters), in nine volumes.</w:t>
      </w:r>
    </w:p>
    <w:p>
      <w:pPr>
        <w:pStyle w:val="BodyText"/>
        <w:spacing w:after="120" w:line="312" w:lineRule="auto"/>
      </w:pPr>
      <w:r>
        <w:rPr>
          <w:rFonts w:ascii="DejaVu Serif" w:hAnsi="DejaVu Serif" w:eastAsia="Noto Serif CJK SC"/>
          <w:color w:val="000000"/>
          <w:sz w:val="22"/>
        </w:rPr>
        <w:t xml:space="preserve">The order of all three parts proceeds from the fundamental law to the amending and modifying amendments, and then to implementing rules of the same effect — from the root to the branches, from the outline to the detail; the whole picture of the Charter’s interpretation is fully seen herein.</w:t>
      </w:r>
    </w:p>
    <w:p>
      <w:pPr>
        <w:pStyle w:val="BodyText"/>
        <w:spacing w:after="120" w:line="312" w:lineRule="auto"/>
      </w:pPr>
      <w:r>
        <w:rPr>
          <w:rFonts w:ascii="DejaVu Serif" w:hAnsi="DejaVu Serif" w:eastAsia="Noto Serif CJK SC"/>
          <w:color w:val="000000"/>
          <w:sz w:val="22"/>
        </w:rPr>
        <w:t xml:space="preserve">Respectfully prefaced by the Editorial Compilation of the Commentary on the Charter of Life Action</w:t>
      </w:r>
    </w:p>
    <w:p>
      <w:pPr>
        <w:pStyle w:val="BodyText"/>
        <w:spacing w:after="120" w:line="312" w:lineRule="auto"/>
      </w:pPr>
      <w:r>
        <w:rPr>
          <w:rFonts w:ascii="DejaVu Serif" w:hAnsi="DejaVu Serif" w:eastAsia="Noto Serif CJK SC"/>
          <w:color w:val="000000"/>
          <w:sz w:val="22"/>
        </w:rPr>
        <w:t xml:space="preserve">15 September 2026</w:t>
      </w:r>
    </w:p>
    <w:p>
      <w:pPr>
        <w:spacing w:after="120" w:line="312" w:lineRule="auto"/>
      </w:pPr>
      <w:r>
        <w:rPr>
          <w:rFonts w:ascii="DejaVu Serif" w:hAnsi="DejaVu Serif" w:eastAsia="Noto Serif CJK SC"/>
          <w:color w:val="000000"/>
          <w:sz w:val="22"/>
        </w:rPr>
        <w:pict>
          <v:rect style="width:0;height:1.5pt" o:hralign="center" o:hrstd="t" o:hr="t"/>
        </w:pict>
      </w:r>
    </w:p>
    <w:p>
      <w:pPr>
        <w:spacing w:after="120" w:line="312" w:lineRule="auto"/>
      </w:pPr>
      <w:r>
        <w:rPr>
          <w:rFonts w:ascii="DejaVu Serif" w:hAnsi="DejaVu Serif" w:eastAsia="Noto Serif CJK SC"/>
          <w:color w:val="000000"/>
          <w:sz w:val="22"/>
        </w:rPr>
        <w:pict>
          <v:rect style="width:0;height:1.5pt" o:hralign="center" o:hrstd="t" o:hr="t"/>
        </w:pict>
      </w:r>
    </w:p>
    <w:bookmarkEnd w:id="22"/>
    <w:bookmarkEnd w:id="23"/>
    <w:bookmarkStart w:id="205" w:name="main-text-with-commentary-notes"/>
    <w:p>
      <w:pPr>
        <w:pStyle w:val="Heading1"/>
        <w:spacing w:after="240" w:line="312" w:lineRule="auto"/>
        <w:jc w:val="center"/>
      </w:pPr>
      <w:r>
        <w:rPr>
          <w:rFonts w:ascii="DejaVu Serif" w:hAnsi="DejaVu Serif" w:eastAsia="Noto Serif CJK SC"/>
          <w:color w:val="000000"/>
          <w:sz w:val="34"/>
        </w:rPr>
        <w:t xml:space="preserve">Main Text, with Commentary Notes</w:t>
      </w:r>
    </w:p>
    <w:p>
      <w:pPr>
        <w:pStyle w:val="FirstParagraph"/>
        <w:spacing w:after="120" w:line="312" w:lineRule="auto"/>
      </w:pPr>
      <w:r>
        <w:rPr>
          <w:rFonts w:ascii="DejaVu Serif" w:hAnsi="DejaVu Serif" w:eastAsia="Noto Serif CJK SC"/>
          <w:color w:val="000000"/>
          <w:sz w:val="22"/>
        </w:rPr>
        <w:t xml:space="preserve">Aaron Suen</w:t>
      </w:r>
    </w:p>
    <w:p>
      <w:pPr>
        <w:pStyle w:val="BodyText"/>
        <w:spacing w:after="120" w:line="312" w:lineRule="auto"/>
      </w:pPr>
      <w:r>
        <w:rPr>
          <w:rFonts w:ascii="DejaVu Serif" w:hAnsi="DejaVu Serif" w:eastAsia="Noto Serif CJK SC"/>
          <w:color w:val="000000"/>
          <w:sz w:val="22"/>
        </w:rPr>
        <w:t xml:space="preserve">The 60th Principled Final Revision of the Charter of Life Action</w:t>
      </w:r>
    </w:p>
    <w:p>
      <w:pPr>
        <w:pStyle w:val="BodyText"/>
        <w:spacing w:after="120" w:line="312" w:lineRule="auto"/>
      </w:pPr>
      <w:r>
        <w:rPr>
          <w:rFonts w:ascii="DejaVu Serif" w:hAnsi="DejaVu Serif" w:eastAsia="Noto Serif CJK SC"/>
          <w:color w:val="000000"/>
          <w:sz w:val="22"/>
        </w:rPr>
        <w:t xml:space="preserve">Aaron Suen 2022-8-13 The Charter of Life Action for Cosmopolitanization, Globalization and Internationalization (60th Principled Final Revision) i Aaron Suen The 60th Principled Final Revision of the Charter of Life Action</w:t>
      </w:r>
    </w:p>
    <w:p>
      <w:pPr>
        <w:spacing w:after="120" w:line="312" w:lineRule="auto"/>
      </w:pPr>
      <w:r>
        <w:rPr>
          <w:rFonts w:ascii="DejaVu Serif" w:hAnsi="DejaVu Serif" w:eastAsia="Noto Serif CJK SC"/>
          <w:color w:val="000000"/>
          <w:sz w:val="22"/>
        </w:rPr>
        <w:pict>
          <v:rect style="width:0;height:1.5pt" o:hralign="center" o:hrstd="t" o:hr="t"/>
        </w:pict>
      </w:r>
    </w:p>
    <w:bookmarkStart w:id="24" w:name="article-1-purposes-of-the-charter"/>
    <w:p>
      <w:pPr>
        <w:pStyle w:val="Heading3"/>
        <w:spacing w:after="120" w:line="312" w:lineRule="auto"/>
        <w:jc w:val="left"/>
      </w:pPr>
      <w:r>
        <w:rPr>
          <w:rFonts w:ascii="DejaVu Serif" w:hAnsi="DejaVu Serif" w:eastAsia="Noto Serif CJK SC"/>
          <w:color w:val="000000"/>
          <w:sz w:val="26"/>
        </w:rPr>
        <w:t xml:space="preserve">Article 1 【Purposes of the Charter】</w:t>
      </w:r>
    </w:p>
    <w:p>
      <w:pPr>
        <w:pStyle w:val="FirstParagraph"/>
        <w:spacing w:after="120" w:line="312" w:lineRule="auto"/>
      </w:pPr>
      <w:r>
        <w:rPr>
          <w:rFonts w:ascii="DejaVu Serif" w:hAnsi="DejaVu Serif" w:eastAsia="Noto Serif CJK SC"/>
          <w:color w:val="000000"/>
          <w:sz w:val="22"/>
        </w:rPr>
        <w:t xml:space="preserve">In order to clearly set out the direction of life advancement of the author of this Charter of Life Action (hereinafter in principle abbreviated as this Charter or the Charter), to firmly pursue the life-development path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Yujun-Characteristic Cosmism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to reduce the influence of the outside world upon the life course of the person to whom the Charter applies to the minimum necessary limit; and on the basis of the Author’s life perspective, vision, life dream, ideals, ultimate target identity, life mission, personal values and minimalism, and the principle of logic, this constitutional charter is hereby specially formulated.</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order to clearly set out the direction of life advancement of the author of this Charter of Life Action (hereinafter in principle abbreviated as this Charter or the Charter), to firmly pursue the life-development path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Yujun-Characteristic Cosmism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to reduce the influence of the outside world upon the life course of the person to whom the Charter applies to the minimum necessary limit; and on the basis of the Author’s life perspective, vision, life dream, ideals, ultimate target identity, life mission, personal values and minimalism, and the principle of logic, this constitutional charter is hereby specially formulated.</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 general outline of the entire Charter; it clarifies the reason for legislation and where the purpose lies. A charter is not the ordinance of a state nor something imposed by others, but the fundamental law enacted by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sovereign individual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his own life. It is established with three meanings: first,</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to set the direction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to clearly set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Author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direction of life advancement (namely, the life-development path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Yujun-Characteristic Cosmism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second,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to establish sovereignty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to reduce the influence of the outside world upon the Author’s life course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necessary limit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which is precisely the origin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necessary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found throughout the text; third,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to establish the basis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to enumerate the several grounds on which the charter is founded: life perspective, vision, dream, ideals, ultimate target identity, mission, values, minimalism and logic. By coming straight to the point, it establishes the Author as the legislator and sovereign of his own life.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Yujun-Characteristic Cosmism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proper name of the Author’s life path, formed by combining the characters of the Author’s own name (Yujun) with the idea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denoting his unique path of transcending nations and taking himself as a cosmic citizen; it is the two sides of the same coin with Article 7 【The Ideal of the Universal Cosmic Citizen】.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to reduce the influence of the outside world … to the minimum necessary limit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general spirit of all the Charter’s prohibitive provisions and self-determination provisions: any intervention, evaluation or interference by the outside world that is not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necessary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should be excluded.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not only a way of life but also the methodology of charter-making — cutting away the redundant and keeping the essential, paring the complex down to the simple.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logic</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akin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essentialism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first principles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is the keynote by which this Charter governs subjective wishes with objective reason.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Since the Charter is established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Author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does its effect extend only to the Author personally, or does it also bind others?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Charter is a charter of self-restraint by the Author; the bearer of its obligations is the Author alone. Others are not bound by this Charter, nor may they assert rights against the Author on the basis of this Charter. Yet when the Author conducts external dealings on the basis of the baselines and principles he has set for himself, the spirit of the Charter naturally extends to all his actions.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【Supreme Programmatic Ideal】, Article 7 【The Ideal of the Universal Cosmic Citizen】, Article 33 【The First Principle of Personal Values; the Principle of Maximum Self-Determination】, Article 121 【Scope of Application of This Charter】, Article 127 【Effective Date of the Charter】.</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24"/>
    <w:bookmarkStart w:id="25" w:name="article-1-2-supreme-programmatic-ideal"/>
    <w:p>
      <w:pPr>
        <w:pStyle w:val="Heading3"/>
        <w:spacing w:after="120" w:line="312" w:lineRule="auto"/>
        <w:jc w:val="left"/>
      </w:pPr>
      <w:r>
        <w:rPr>
          <w:rFonts w:ascii="DejaVu Serif" w:hAnsi="DejaVu Serif" w:eastAsia="Noto Serif CJK SC"/>
          <w:color w:val="000000"/>
          <w:sz w:val="26"/>
        </w:rPr>
        <w:t xml:space="preserve">Article 1-2 【Supreme Programmatic Ideal】</w:t>
      </w:r>
    </w:p>
    <w:p>
      <w:pPr>
        <w:pStyle w:val="FirstParagraph"/>
        <w:spacing w:after="120" w:line="312" w:lineRule="auto"/>
      </w:pPr>
      <w:r>
        <w:rPr>
          <w:rFonts w:ascii="DejaVu Serif" w:hAnsi="DejaVu Serif" w:eastAsia="Noto Serif CJK SC"/>
          <w:color w:val="000000"/>
          <w:sz w:val="22"/>
        </w:rPr>
        <w:t xml:space="preserve">To promote the building of a community with a shared future for mankind and a cosmic-civilization community with a shared future; to realize the highest personal goal in life of a sojourning venture-capital-style life and the establishment of a globalized private investment bank, a private internationalized sound asset-management corporate legal-person entity, and a private fundraising fund corporate legal-person entity; and, on that basis, with a sustained altruistic mindset to continuously learn–think–act, and with the ideal of the cosmic citizen, to continuously help promote the building of an open, inclusive, mutual-learning, mutual-benchmarking, jointly-consulted, jointly-built and shared, universally safe, commonly prosperous and universally win-win world-class and cosmicized new ecology, as the supreme programmatic ideal of life.</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promote the building of a community with a shared future for mankind and a cosmic-civilization community with a shared future; to realize the highest personal goal in life of a sojourning venture-capital-style life and the establishment of a globalized private investment bank, a private internationalized sound asset-management corporate legal-person entity, and a private fundraising fund corporate legal-person entity; and, on that basis, with a sustained altruistic mindset to continuously learn–think–act, and with the ideal of the cosmic citizen, to continuously help promote the building of an open, inclusive, mutual-learning, mutual-benchmarking, jointly-consulted, jointly-built and shared, universally safe, commonly prosperous and universally win-win world-class and cosmicized new ecology, as the supreme programmatic ideal of life.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The preceding article clarifies the reason for charter-making; this article establishes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supreme program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program has two aspects: the first is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personal goal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 sojourning venture-capital-style life and the establishment of three types of corporate legal-person entities (a private investment bank, a private internationalized sound asset-management company, and a private fundraising fund company); the second is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civilizational goal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with the ideal of the cosmic citizen, to help build the universally win-win ecology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community with a shared future for mankind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cosmic-civilization community with a shared future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This article elevates the striving of individual life to the height of civilizational concern, and is the fountainhead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keynote of this Charter.</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Community with a shared future for mankind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cosmic-civilization community with a shared future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the core concepts of the Author’s life ideal; the former extends to all mankind, the latter further extends to the cosmic scope, echoing Article 7’s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public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cosmic-level political ecology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With a sustained altruistic mindset to continuously learn–think–act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prescribes the dynamic mechanism of the Author’s life: taking altruism as the mental method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learn–think–act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cycle, renewing day by day. The sixteen characters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open, inclusive, mutual-learning, mutual-benchmarking, jointly-consulted, jointly-built and shared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universally safe, commonly prosperous and universally win-win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the civilizational prospect this life seeks to contribute to. Note that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three types of corporate legal-person entities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this article were adjusted in Article 8-4 and in the First Amendment; see the 【Legislative History】 of that article for details.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【Purposes of the Charter】, Article 7 【The Ideal of the Universal Cosmic Citizen】, Article 10 【The Mission of the Entrepreneur, Business Owner, Investor and Private-Fund Manager】, Article 21 【The Final Goal of Life】, the Second Amendment (Annex A.02.001).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25"/>
    <w:bookmarkStart w:id="26" w:name="Xfe250c0f6a012fe32ee26c3e4f49d8789a1e0de"/>
    <w:p>
      <w:pPr>
        <w:pStyle w:val="Heading3"/>
        <w:spacing w:after="120" w:line="312" w:lineRule="auto"/>
        <w:jc w:val="left"/>
      </w:pPr>
      <w:r>
        <w:rPr>
          <w:rFonts w:ascii="DejaVu Serif" w:hAnsi="DejaVu Serif" w:eastAsia="Noto Serif CJK SC"/>
          <w:color w:val="000000"/>
          <w:sz w:val="26"/>
        </w:rPr>
        <w:t xml:space="preserve">Article 2 【Description of the Ideal Personality of the Charter’s Author】</w:t>
      </w:r>
    </w:p>
    <w:p>
      <w:pPr>
        <w:pStyle w:val="FirstParagraph"/>
        <w:spacing w:after="120" w:line="312" w:lineRule="auto"/>
      </w:pPr>
      <w:r>
        <w:rPr>
          <w:rFonts w:ascii="DejaVu Serif" w:hAnsi="DejaVu Serif" w:eastAsia="Noto Serif CJK SC"/>
          <w:color w:val="000000"/>
          <w:sz w:val="22"/>
        </w:rPr>
        <w:t xml:space="preserve">In the ideal personality of the author of the Charter, the Author intends to become a person who simultaneously conforms to all of the following descriptions: (1) possessing unconditional self-confidence unaffected by external material conditions or by any other person’s evaluative language; (2) not arrogant or proud; (3) seeking truth from facts; (4) possessing strong inner drive; (5) possessing strong capacity for making his own strategic decisions;</w:t>
      </w:r>
    </w:p>
    <w:p>
      <w:pPr>
        <w:pStyle w:val="BodyText"/>
        <w:spacing w:after="120" w:line="312" w:lineRule="auto"/>
      </w:pPr>
      <w:r>
        <w:rPr>
          <w:rFonts w:ascii="DejaVu Serif" w:hAnsi="DejaVu Serif" w:eastAsia="Noto Serif CJK SC"/>
          <w:color w:val="000000"/>
          <w:sz w:val="22"/>
        </w:rPr>
        <w:t xml:space="preserve">【First adopted 2022-8-13】</w:t>
      </w:r>
    </w:p>
    <w:p>
      <w:pPr>
        <w:numPr>
          <w:ilvl w:val="0"/>
          <w:numId w:val="1004"/>
        </w:numPr>
        <w:spacing w:after="120" w:line="312" w:lineRule="auto"/>
      </w:pPr>
      <w:r>
        <w:rPr>
          <w:rFonts w:ascii="DejaVu Serif" w:hAnsi="DejaVu Serif" w:eastAsia="Noto Serif CJK SC"/>
          <w:color w:val="000000"/>
          <w:sz w:val="22"/>
        </w:rPr>
        <w:t xml:space="preserve">possessing firm personal (unique) principles; (7) being systematic in thinking, cognition and behavior; (8) upholding the greatest feasible degree of freedom (self-determination); (9) not managing or pursuing the team’s unrealistic possible loss of control or involvement in crime, yet being able to give timely reminders (of varying degrees up to severity) when necessary, and otherwise exercising substantive strict control; (10) viewing all persons as equal in personality while recognizing and respecting their differences; (11)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taking conduct that violates the criminal law and its judicial interpretations to the degree of fixed-term imprisonment of seven years or more (deprivation of political rights for life) (constituting a crime and being sentenced to fixed-term imprisonment of seven years or more) as the absolute baseline standard for the Author’s own and others’ conduct and thinking; (12)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taking the criminal law providing for fixed-term imprisonment or more and the relevant laws and regulations applicable at the time the conduct occurred — in principle ensuring that the Author himself is not subject to imprisonment, nor to punishment of fixed-term imprisonment of 30 years or more or life imprisonment — as the relative baseline standard; (13)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taking the mandatory provisions of the Public Security Administration Punishments Law, the Administrative Compulsion Law and the Civil Compulsory Enforcement Law (draft), in that order, as the content for consideration of the third, fourth and fifth tiers of relative baseline standards; (14) Detailed interpretation: in principle, on the premise of not violating the express provisions of the criminal law (and its judicial interpretations) in force at the time the conduct is done, or the express provisions of (other) laws, and especially the mandatory legal provisions that deprive human life or restrict personal liberty (in extreme circumstances, on the premise that the established purpose has already been wholly or basically achieved, it may be accepted that for a single unlawful act done without subjective intent one accepts at most 7 years of liberty-restricting punishment, and for multiple unlawful acts at most 20 years of liberty-restricting punishment; and by means of the minimum feasible necessary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devoted, in altruistic matters that seek the welfare of the conduct of that part of all mankind who share common ideals with the Author, intending to achieve the corresponding state of the pre-established, maximally feasibly intended, non-unlawful-purpose, altruistic or mutually beneficial universally win-win wish or intent in the Author’s own wish-list, persisting to achieve the state of the life ideal in the established macro direction); (15)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charter-compliance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when necessary taking the mandatory provisions of express contractual terms, industry mandatory provisions, the minimum feasible operating procedures of standard process instruction manuals, the explicit requirements of specific clients (whether group or individual), professional ethics (moral, non-mandatory provisions), social morality, the absolute upper limit of the academic ideal state, the absolute upper limit of the personal ideal state, the absolute upper limit of the core team’s ideal state, and the absolute upper limit of mankind’s ideal state, in that order, as the content for consideration of the sixth, seventh, eighth, ninth, tenth, eleventh, twelfth, thirteenth, fourteenth and fifteenth tiers of relative baseline standards; (16) being extremely peaceful in state of mind; (17) being able to communicate calmly and logically with almost all people of the same frequency and with most good-faith people of different frequency; (18) being capable of lifelong learning and continuous growth; (19) being able to continuously earn currency, and before the age of 35 to earn at least 1 million yuan per month in non-labor income and to earn a total amount of currency of 1 billion to 10 billion yuan (or the equivalent in the commonly used foreign currency of the Author’s habitual place of residence); (20) adhering to long-termist concentration (principally maintaining regularity and systematicness in the Author’s operations, investment, travel-office and travel-residence, translation, language-learning and exchange, book-writing, exercise, and rising and sleeping); (21) being in principle of good faith, but able to be exempted in the circumstances expressly provided in Articles 90 and 91 of this Charter; (22) being able to comprehensively and dialectically receive information from external counterparts and ascertain its truth or falsity; (23) being able to continuously perceive the essence of all things and to decide continuously and effectively; (24) being able to discern human nature, being good at resource integration, and being good at positioning and market-making; (25) being free from any non-minimum-necessary interference by any external person, matter, thing or resource, or by the Author’s own greedy human nature; (26) having the identities of a multilingual person, a multilingual writer, an international sojourner, etc.; (27) structurally establishing several corporate legal persons and enterprise organizations;</w:t>
      </w:r>
    </w:p>
    <w:p>
      <w:pPr>
        <w:numPr>
          <w:ilvl w:val="0"/>
          <w:numId w:val="1004"/>
        </w:numPr>
        <w:spacing w:after="120" w:line="312" w:lineRule="auto"/>
      </w:pPr>
      <w:r>
        <w:rPr>
          <w:rFonts w:ascii="DejaVu Serif" w:hAnsi="DejaVu Serif" w:eastAsia="Noto Serif CJK SC"/>
          <w:color w:val="000000"/>
          <w:sz w:val="22"/>
        </w:rPr>
        <w:t xml:space="preserve">engaging in consulting, planning, organizing, agency and intermediary activities in various possible service industries, as well as engaging in the leasing of specific subject matter; (29) engaging in foreign-related activities (including but not limited to transnational, cross-regional or global internationalized operations, investment, business, dealings, language exchange, study tours, study abroad, exhibitions, cultural tourism, marriage, and media); (30) having the identities of professional entrepreneur, investor (including qualified natural-person investors, corporate legal-person investors, etc.) and private-fund manager; (31) engaging in private-fund management, transnational equity investment, and transnational corporate legal-person operations; (32) finally being able to establish a streamlined, minimalist, globalized, transnationalized and cross-cultural private transnational family-office group corporate legal-person entity **#This provision was amended under Article 2 of the First Amendment, replacing the original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investment bank group corporate legal-person entity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transnational family-office group corporate legal-person entity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adapting the direction of life development from traditional financial institutions to the field of family wealth management, and better fitting the core goal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globalized asset allocation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5"/>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ideal personality of the author of the Charter, the Author intends to become a person who simultaneously conforms to all of the following descriptions: (thirty-odd items in all,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possessing unconditional self-confidence unaffected by external material conditions or by any other person’s evaluative language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finally being able to establish a streamlined, minimalist, globalized, transnationalized and cross-cultural private transnational family-office group corporate legal-person entity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takes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personality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key and enumerates all the qualities, abilities, identities and visions that the Author aspires to (thirty-two or more items in all), forming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 register of personality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whole text. Its legislative purpose lies in setting, on the condition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simultaneously conforming to all of the following descriptions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 coordinate of personality by which the Author may calibrate himself, so that all action may have something to rest upon. The Tang Code with Sub-commentary has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Ten Abominations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its Chapter on Names and General Principles; this article, inverting that meaning, establishes 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personality of complete goodness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which is the grand summation of the Charter’s values.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These thirty-odd items may be broadly divided into four categories: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dispositional category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such as unconditional self-confidence, not being arrogant or proud, seeking truth from facts, strong inner drive, an extremely peaceful state of mind, lifelong learning, and long-termism;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baseline category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such as the tiered baseline standards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anti-illegality 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items (11) to (15);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ability-and-identity category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such as multilingual person, multilingual writer, international sojourner, professional entrepreneur, investor, private-fund manager; and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ultimate-vision category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such as item (32),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establishing a private transnational family-office group corporate legal-person entity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Item (32) was amended by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First Amendment</w:t>
            </w:r>
            <w:r>
              <w:rPr>
                <w:rFonts w:ascii="DejaVu Serif" w:hAnsi="DejaVu Serif" w:eastAsia="Noto Sans CJK SC"/>
                <w:color w:val="000000"/>
                <w:sz w:val="19"/>
              </w:rPr>
              <w:t xml:space="preserve">, changing the original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private investment bank group corporate legal-person entity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private transnational family-office group corporate legal-person entity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adapting to the adjustment of the direction of life development from traditional financial institutions to the field of family wealth management. Item (19)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before the age of 35 earning at least 1 million yuan per month in non-labor income and being able to earn a total amount of currency of 1 billion to 10 billion yuan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 financial yardstick, dovetailing with the goals of Article 8 and Article 21.</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the Author fails to conform to all the items enumerated in this article, does he violate the Charter?</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description of the ideal personality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 programmatic provision of value guidance rather than an obligatory provision for immediate performance. Its role is to mark the direction and calibrate action; whenever the Author acts in conformity with the preceding items he is charter-compliant,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simultaneously conforming to all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need not be taken as the standard of immediate performance; yet the Author ought to take it as the target toward which he strives all his life.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 (32) was amended under Article 2 of the First Amendment; this article sets no additional prohibitive content, and all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prohibitions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found in Articles 12 to 17.</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 【Declarative Enumeration of Rights More Important Than Money】, Article 4 【Ranking of Values and the Order of a Natural Person’s Transfer of Rights】, Article 8 【Description of the Work, Activities, Living Conditions and Ways of Life the Author Intends to Pursue】, Article 11 【Enumeration and Declaration of the Author’s Relatively Strong Abilities】.</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26"/>
    <w:bookmarkStart w:id="27" w:name="Xbdcca51c9c91793fc70bf7de52d2123f36570e1"/>
    <w:p>
      <w:pPr>
        <w:pStyle w:val="Heading3"/>
        <w:spacing w:after="120" w:line="312" w:lineRule="auto"/>
        <w:jc w:val="left"/>
      </w:pPr>
      <w:r>
        <w:rPr>
          <w:rFonts w:ascii="DejaVu Serif" w:hAnsi="DejaVu Serif" w:eastAsia="Noto Serif CJK SC"/>
          <w:color w:val="000000"/>
          <w:sz w:val="26"/>
        </w:rPr>
        <w:t xml:space="preserve">Article 3 【Declarative Enumeration of Rights More Important Than Money】</w:t>
      </w:r>
    </w:p>
    <w:p>
      <w:pPr>
        <w:pStyle w:val="FirstParagraph"/>
        <w:spacing w:after="120" w:line="312" w:lineRule="auto"/>
      </w:pPr>
      <w:r>
        <w:rPr>
          <w:rFonts w:ascii="DejaVu Serif" w:hAnsi="DejaVu Serif" w:eastAsia="Noto Serif CJK SC"/>
          <w:color w:val="000000"/>
          <w:sz w:val="22"/>
        </w:rPr>
        <w:t xml:space="preserve">The Author hereby affirms that in any event the following rights are greater than money and assets: (1) the right to life; (2) the right to subsistence; (3) the right to basic health; (4) the right to rest; (5) the right to make independent and autonomous decisions; (6) the right to freedom of action; (7) the right to learning and growth (the right to development); (8) the right to independent thinking; (9) the right to express opinions; (10) the right to publish; (11) the right of assembly; (12) the right of association; (13) the autonomy of corporate legal-person operation (including the independent decision-making power of operation).</w:t>
      </w:r>
    </w:p>
    <w:p>
      <w:pPr>
        <w:pStyle w:val="BodyText"/>
        <w:spacing w:after="120" w:line="312" w:lineRule="auto"/>
      </w:pPr>
      <w:r>
        <w:rPr>
          <w:rFonts w:ascii="DejaVu Serif" w:hAnsi="DejaVu Serif" w:eastAsia="Noto Serif CJK SC"/>
          <w:color w:val="000000"/>
          <w:sz w:val="22"/>
        </w:rPr>
        <w:t xml:space="preserve">In any event, the right (1) to subsistence, (2) of life, (3) of basic health, (4) of rest, (5) of decision-making, (6) of freedom of action, (7) of learning and growth, (of developement) (8) of independent thinking, (9) of speech, (10) of publishing, (11) of assembly, (12) right of association, (13) business autonomy (including decision-making) is greater than money and assets.</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 hereby affirms that in any event the following rights are greater than money and assets: (1) the right to life; (2) the right to subsistence; (3) the right to basic health; (4) the right to rest; (5) the right to make independent and autonomous decisions; (6) the right to freedom of action; (7) the right to learning and growth (the right to development); (8) the right to independent thinking; (9) the right to express opinions; (10) the right to publish; (11) the right of assembly; (12) the right of association; (13) the autonomy of corporate legal-person operation (including the independent decision-making power of operation). This article is also accompanied by an English parallel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 rule of the hierarchy of rights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Charter, expressly providing that thirteen rights are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any event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greater than money and assets. Its legislative purpose lies in establishing an unshakable order for the trade-offs of life’s values: wealth may be lost, but rights may not be taken away; things may be discarded, but body and freedom may not be exchanged. Together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ranking of values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following article, it forms the value skeleton of the Charter.</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Among the thirteen rights, the first three (the right to life, the right to subsistence, the right to basic health) are rights of the body and are absolutely non-transferable; the middle group (rest, independent and autonomous decision-making, freedom of action, learning and growth, independent thinking) are the freedoms of mind and action; the latter group (speech, publishing, assembly, association) are the freedoms of expression and union; and (13) the autonomy of corporate legal-person operation is the institutional guarantee for the Author’s life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venture-capital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undertaking.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greater than money and assets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does not negate the value of money but establishes a hierarchy — whenever the two conflict, one takes the right and gives up the goods.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 【Ranking of Values】, Articles 12 to 17 【The Baseline of Life】, Article 57 【Working for Others, Entrepreneurship and Other Sources of Cash Flow】, Article 98 【The Absolute Ultimate Baseline of Life Activities】.</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27"/>
    <w:bookmarkStart w:id="28" w:name="X3eff5b0c21297243eee81147ebd9dac19642b82"/>
    <w:p>
      <w:pPr>
        <w:pStyle w:val="Heading3"/>
        <w:spacing w:after="120" w:line="312" w:lineRule="auto"/>
        <w:jc w:val="left"/>
      </w:pPr>
      <w:r>
        <w:rPr>
          <w:rFonts w:ascii="DejaVu Serif" w:hAnsi="DejaVu Serif" w:eastAsia="Noto Serif CJK SC"/>
          <w:color w:val="000000"/>
          <w:sz w:val="26"/>
        </w:rPr>
        <w:t xml:space="preserve">Article 4 【Ranking of Values and the Order of a Natural Person’s Transfer of Rights】</w:t>
      </w:r>
    </w:p>
    <w:p>
      <w:pPr>
        <w:pStyle w:val="FirstParagraph"/>
        <w:spacing w:after="120" w:line="312" w:lineRule="auto"/>
      </w:pPr>
      <w:r>
        <w:rPr>
          <w:rFonts w:ascii="DejaVu Serif" w:hAnsi="DejaVu Serif" w:eastAsia="Noto Serif CJK SC"/>
          <w:color w:val="000000"/>
          <w:sz w:val="22"/>
        </w:rPr>
        <w:t xml:space="preserve">The Author’s ideal life values follow, in overall principle, the ordering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truth /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greater than or equal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 wishes /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greater than emotion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truth /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 wishes /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&gt; emotion). The specific items are ordered as follows; the order is in principle unchangeable for life, and in exchanges with others the principle of transferring from the last toward the first is followed, among which items 1–10 may never be transferred at any time, nor may their order be altered: (1) the personal right to life (the right and attribute of an individual life’s origination and beginning to exist); (2) the personal right to subsistence (the temporal continuity of an individual life’s existence); (3) the personal right to maintain bodily integrity (the right to maintain the integrity of the Author’s physical body); (4) the personal right to maintain the health of the body, spirit and thinking-cognitive world (the right to the normal functioning of faculties / the freedom of the Author’s body and mind from illness); (5) the personal right to freedom (the independent and autonomous strategic power of self-decision, the autonomy of independent thinking and choice, and the autonomously operable power to create assets); (6) the personal sense of conviction | self-confidence (the most core social resource); (7) the sense of trust toward others (the sense of trusting others) 【the relative consistency (in principle consistency) between the system of thinking-consciousness and one’s own conduct】; (8) the individual’s independent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 to explore and to clarify the globally essentialist truth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(9) the individual’s right to learn, grow and change (developmental nature); (10) the individual–team life ideal | dream | vision 【List】(motivational nature); (11) the individual’s large-scale social credit 【the validity of the individual’s expression of intent of promise toward persons other than the Author】 based on the Author’s personal express promises, adhering to prudent promising and maximum good faith: 1) paragraph 1. The individual’s operational social credit (so-called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commercial credit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paragraph 2. The individual’s capital-based, financial(-sphere) credit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financial and capital-market credit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(12) asset-based intangible resources (the continuity of the input of the material foundation): paragraph 1. High-quality attention; paragraph 2. High-quality energy; paragraph 3. High-quality time; paragraph 4. High-quality cognition; paragraph 5. High-quality information; paragraph 6. Effective systematized rules; (13) personal influence; (14) personal leadership; (15) personal decision-making power; (16) personal thinking power; (17) personal communication power; (18) the expression of personal altruism and gratitude ¹; (Note: ¹ it may be expressed by oral and other non-substantive means or by monetary and material and other substantive means, and consideration should be given to circumstances in which it might be exploited by others in bad faith.) (19) personal reputation (relatively core social reputation): paragraph 1. Personal character; paragraph 2. Personal talent;</w:t>
      </w:r>
    </w:p>
    <w:p>
      <w:pPr>
        <w:pStyle w:val="Compact"/>
        <w:numPr>
          <w:ilvl w:val="0"/>
          <w:numId w:val="1005"/>
        </w:numPr>
        <w:spacing w:after="120" w:line="312" w:lineRule="auto"/>
      </w:pPr>
      <w:r>
        <w:rPr>
          <w:rFonts w:ascii="DejaVu Serif" w:hAnsi="DejaVu Serif" w:eastAsia="Noto Serif CJK SC"/>
          <w:color w:val="000000"/>
          <w:sz w:val="22"/>
        </w:rPr>
        <w:t xml:space="preserve">high-quality circle of connections; (21) other asset-based intangible resources; (22) long-term asset subject-matter system: paragraph 1. The core persons with whom the Author cooperates 【natural persons of the Author’s own camp】: item 1. Core partners; item 2. Core shareholders; item 3. Core senior managers; paragraph 2. Equity interests; paragraph 3. Shares; paragraph 4. IPR assets (intellectual-property-rights / intellectual-property assets): item 1. Copyright income: ①. Book copyright income; ②. Audio/music copyright income; ③. Video/imagery copyright income; ④. Software copyright income; ⑤. Other copyright income; item 2. Trademark income: ①. Trademark licensing fee income; ②. Proceeds from lawful transfer of trademarks; ③. Other trademark income; item 3. Patent income: ①. Design-patent income; ②. Utility-model patent income; ③. Innovation and invention-patent income; ④. Other patent income; paragraph 5. Asset-based rights and interests — passive income: item 1. Usufructuary rights: ①. Cash-flow assets of company establishment and related; ②. Dividends from equity/share investment in the corporate legal-person entities of others; ③. Rental assets from the re-leasing of real estate; ④. Fund investment: establishment of and investment in private funds — primary market; or mutual-fund investment — secondary market (primary and secondary markets); item 2. Gains from the leasing of curios and collectibles; item 3. Gains from precious-metal investment subject matter: ①. Gold; ②. Silver; ③. Platinum; ④. Nickel; ⑤. Palladium; ⑥. Other precious-metal subject matter not listed above that may be lawfully traded; item 4. Insurance; item 5. Trusts; item 6. Bank structured deposits;</w:t>
      </w:r>
    </w:p>
    <w:p>
      <w:pPr>
        <w:pStyle w:val="FirstParagraph"/>
        <w:spacing w:after="120" w:line="312" w:lineRule="auto"/>
      </w:pPr>
      <w:r>
        <w:rPr>
          <w:rFonts w:ascii="DejaVu Serif" w:hAnsi="DejaVu Serif" w:eastAsia="Noto Serif CJK SC"/>
          <w:color w:val="000000"/>
          <w:sz w:val="22"/>
        </w:rPr>
        <w:t xml:space="preserve">paragraph 6. Dividend rights 【sources as follows】: item 1. Equity in corporate legal-person entities not operated by the Author; item 2. Shares held in others’ companies; paragraph 7. Shares of other high-performing companies; paragraph 8. Dividend rights in respect of mutual-fund units; (23) core political rights: paragraph 1. Freedom of speech; paragraph 2. Freedom of the press; paragraph 3. Freedom of assembly; paragraph 4. Freedom of association; (24) social responsibility (social sense of responsibility): paragraph 1. The sense of responsibility toward one’s own operations and future life, growth and development; paragraph 2. The sense of responsibility toward paid clients; (25) the sense of responsibility toward the persons of the corporate legal person’s core team; (26) the sense of responsibility toward the entire corporate legal-person team; (27) currency (currency · money); (28) family responsibility in the narrow sense: paragraph 1. Before marriage, mainly toward one’s parents; paragraph 2. If marriage is concluded, then mainly toward one’s wife and daughters, etc.; paragraph 3. The sense of responsibility toward other objects: item 1. The sense of responsibility toward the future of mankind; item 2. The sense of responsibility toward the future of the people of a continent; item 3. The sense of responsibility toward the future of the people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country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item 4. The sense of responsibility toward the future of the people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①. The sense of responsibility toward the future of the people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province/region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②. The sense of responsibility toward the future of the people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municipality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③. The sense of responsibility toward the future of the people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district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item 5. The sense of responsibility toward the future of persons of the same circle and the same developmental aspiration; (29) the Author’s right to have offspring; (30) the maintenance of personal prestige; (31) the sense of authority (intangible sense of rank); (32) firmness of (standpoint); (33) the sense of mystery; (34) the sense of loss; (35) scarcity / limitedness / the sense of scarcity; (36) the need for returns that require only internal feedback (inner drive) : item 1. The party’s own inner joyful return — altruism; item 2. The inner sense of mission; item 3. The inner sense of love; item 4. The inner sense of achievement; item 5. The inner sense of responsibility; item 6. The inner sense of pride; item 7. The inner sense of honor; item 8. The desire to explore and curiosity to restore the original whole truth of an event;</w:t>
      </w:r>
    </w:p>
    <w:p>
      <w:pPr>
        <w:pStyle w:val="BodyText"/>
        <w:spacing w:after="120" w:line="312" w:lineRule="auto"/>
      </w:pPr>
      <w:r>
        <w:rPr>
          <w:rFonts w:ascii="DejaVu Serif" w:hAnsi="DejaVu Serif" w:eastAsia="Noto Serif CJK SC"/>
          <w:color w:val="000000"/>
          <w:sz w:val="22"/>
        </w:rPr>
        <w:t xml:space="preserve">item 9. The sense of moral superiority; item 10. The inner sense of honor (the sense of self-motivation and self-identification); item 11. The inner sense of crisis (negative return); (37) paragraph 2. Still requiring returns of external feedback (external drive): item 1. The need for social praise (from other natural persons, legal-person organizations): ①. The need for the acknowledgment expressed by social honor certificates (endorsement recognition); ②. The need for the acknowledgment expressed by social medals; ③. The need for the acknowledgment expressed by social titles; item 2. The need for others’ positive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labels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(e.g., generous); item 3. The need for the sense of power, dominance, leading and pride of holding official office; item 4. Personal public-facing sense of mystery; item 5. The need for the sense of presence, ritual, grandeur and excitement of participating in ceremonies; item 6. The sense of gameplay, participation and interaction obtained from tiered and progressively strengthened mutual feedback; item 7. The sense of freshness and curiosity of first engaging in some external event or obtaining some fresh experience; item 8. The sense of acquisition obtained from acquiring some subject matter never before acquired; item 9. The need for encouragement from other subjects (natural persons, legal-person organizations); item 10. The sense of uniqueness and honor brought by membership-like identity; item 11. Other non-monetary positive-return subject matters not listed above and their corresponding mechanisms; (38) non-core social fame: paragraph 1. Personal prestige; paragraph 2. Other social-fame evaluations; (39) social morality: paragraph 1. The supremacy of institutions; paragraph 2. Fairness; (40) other substantive 【social】 rights; (41) additional rights / interests of other substantive 【social】 rights; (42) the individual’s inner psychology of admiring the strong; (43) the individual’s inner psychology of following the crowd; (44) the evaluations of others by the masses (mass opinion); (45) personal sentimentality; (46) personal face (vanity, virtual sense of honor); (47) other external accretive subject matters: paragraph 1. Other temporary external rights; paragraph 2. The totality of external, social labels obtained by the individual; paragraph 3. Other intangible external accretive subject matters.</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ideal life values follow, in overall principle, the ordering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truth /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greater than or equal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human wishes /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greater than emotion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truth /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human wishes /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&gt; emotion). The specific items are ordered as follows; the order is in principle unchangeable for life, and in exchanges with others the principle of transferring from the last toward the first is followed, among which items 1–10 may never be transferred at any time, nor may their order be altered: (forty-seven items in all, from the personal right to life to other intangible external accretive subject matters;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 Charter’s most detailed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table of the ranking of values and subject matters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also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transfer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meaning is threefold: first,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general order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truth /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human wishes /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&gt; emotion; second,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detailed items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forty-seven subject matters in all, arranged in order of importance from first to last; third,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method of transfer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in exchange and transfer, one transfers from the last toward the first, and items 1 to 10</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may never be transferred at any time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general order reveals the rational undertone of the Author’s life — objective truth and law stand above subjective wishes and interests, and still more above transient emotion. The method of transfer is the operating rule of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transactionalized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outlook on life: what may be transferred begins from the last, and what may not be transferred (the first 10 items) is guarded with one’s very person. The items listed above may be grouped into three layers: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baseline layer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(items 1–10: life, subsistence, bodily integrity, health, freedom, conviction, trust, exploration of truth, learning and growth, life ideal);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resource layer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(items 11–21: credit, intangible resources, influence, leadership, decision-making power, reputation, connections, etc.); and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asset layer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 22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 asset subject-matter system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item 23 onward: political rights, social responsibility, currency, family responsibility, etc.). Under item 22 are further listed equity interests, shares, IPR assets (copyright, trademark rights, patent rights), passive income (usufructuary rights, funds, precious metals, insurance, trusts, etc.), dividend rights and the like — in effect 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asset constitution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two non-transferable items conflict (e.g., the right to life and the right to freedom), how should one deal with it?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According to the order of this article, the earlier-ranked prevails. The right to life (item 1) occupies the supreme place; wherever the right to life conflicts with the remaining items, the right to life is given priority. Yet, in accordance with Articles 12 and 13, the Author also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personally violating the punishment of fixed-term imprisonment of seven years or more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an absolute baseline; the two should be viewed together.</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 【Declarative Enumeration of Rights More Important Than Money】, Article 5 【The Essence of the Sources of Fear】, Articles 12 to 17 【The Baseline of Life】, Article 21 【The Final Goal of Life】, Article 83 【Systematic Compilation of All Primary, Essential, Tangible and Intangible Subject Matters】.</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28"/>
    <w:bookmarkStart w:id="29" w:name="X65574b0375e93cba8388df8645400f37eb949a9"/>
    <w:p>
      <w:pPr>
        <w:pStyle w:val="Heading3"/>
        <w:spacing w:after="120" w:line="312" w:lineRule="auto"/>
        <w:jc w:val="left"/>
      </w:pPr>
      <w:r>
        <w:rPr>
          <w:rFonts w:ascii="DejaVu Serif" w:hAnsi="DejaVu Serif" w:eastAsia="Noto Serif CJK SC"/>
          <w:color w:val="000000"/>
          <w:sz w:val="26"/>
        </w:rPr>
        <w:t xml:space="preserve">Article 5 【The Essence of the Sources of Fear】</w:t>
      </w:r>
    </w:p>
    <w:p>
      <w:pPr>
        <w:pStyle w:val="FirstParagraph"/>
        <w:spacing w:after="120" w:line="312" w:lineRule="auto"/>
      </w:pPr>
      <w:r>
        <w:rPr>
          <w:rFonts w:ascii="DejaVu Serif" w:hAnsi="DejaVu Serif" w:eastAsia="Noto Serif CJK SC"/>
          <w:color w:val="000000"/>
          <w:sz w:val="22"/>
        </w:rPr>
        <w:t xml:space="preserve">The essential summary of the common sources of human fear is as follows: (1) the loss of one’s own life (deprivation of the right to subsistence); (2) deprivation of personal liberty and of the freedom of the right to think and the right to choose: 1) paragraph 1. Permanent deprivation of personal liberty; 2) paragraph 2. Deprivation of personal liberty for a limited term (seven years or more); 3) paragraph 3. Deprivation of personal liberty for a limited term (seven years or less);</w:t>
      </w:r>
    </w:p>
    <w:p>
      <w:pPr>
        <w:pStyle w:val="Compact"/>
        <w:numPr>
          <w:ilvl w:val="0"/>
          <w:numId w:val="1006"/>
        </w:numPr>
        <w:spacing w:after="120" w:line="312" w:lineRule="auto"/>
      </w:pPr>
      <w:r>
        <w:rPr>
          <w:rFonts w:ascii="DejaVu Serif" w:hAnsi="DejaVu Serif" w:eastAsia="Noto Serif CJK SC"/>
          <w:color w:val="000000"/>
          <w:sz w:val="22"/>
        </w:rPr>
        <w:t xml:space="preserve">infringement of the Author’s right to bodily (physical) integrity and health; (4) damage to, even to the point of the loss of, commercial goodwill and financial credit; (5) deprivation of political rights: 1) paragraph 1. Permanent deprivation of political rights; 2) paragraph 2. Deprivation of political rights for a limited term; (6) deprivation of passive-income assets; (7) deprivation of the right to autonomously allocate one’s own time, energy and attention; (8) failure to obtain the expected value after the deprivation of the Author’s currency: paragraph 1. The Author is deceived; paragraph 2. There is a major misunderstanding between the parties; paragraph 3. Control is expected to be needed between the Author and the persons of the parties; (9) damage to personal fame, honor and social reputation; (10) permanent deprivation of the Author’s status and professional qualifications (livelihood); (11) deprivation of the Author’s status and professional qualifications (livelihood) for a limited term; (12) deprivation of the human possibility or opportunity for life development that one deserves; (13) the Author’s being socially abandoned (loss of the social recognition of close persons within the same circle); (14) deprivation of other subject matters, opportunities and rights and interests not listed above, and of the right to the continuity of the already-formed ideal life state, etc.</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essential summary of the common sources of human fear is as follows: (1) the loss of one’s own life; (2) deprivation of personal liberty and of the freedom of the right to think and the right to choose (including the three paragraphs of permanent, seven years or more, and seven years or less); (3) infringement of the right to bodily (physical) integrity and health; (4) damage to, even to the point of the loss of, commercial goodwill and financial credit; (5) deprivation of political rights; (6) deprivation of passive-income assets; (7) deprivation of the right to autonomously allocate one’s own time, energy and attention; (8) failure to obtain the expected value after the deprivation of currency (deception, major misunderstanding, expected control); (9) damage to fame, honor and social reputation; (10) permanent deprivation of status and professional qualifications; (11) deprivation of professional qualifications for a limited term; (12) deprivation of the possibility or opportunity for life development; (13) being socially abandoned; (14) deprivation of other subject matters, opportunities, rights and interests, and of the right to the continuity of the ideal life state.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dissects the essence of fear; it is in truth the reverse projection of the ranking of values of the preceding article — whatever one fears is whatever one treasures. By clarifying the sources of fear, one knows the target of prevention. The legislative purpose lies in turning the vague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fear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into identifiable subject matters, so that the Author may govern emotion with reason and aim with precision.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sources of fear correspond broadly to the value list of the preceding article, while further revealing its psychological mechanism — fear is born of the expectation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On this basis, the Author’s risk management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losing what he treasures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key: protecting his assets by insurance, trusts and identity allocation (item 6); protecting his developmental opportunities by multilingual and cross-cultural abilities (item 12); protecting his credit by prudent promising and maximum good faith (item 4); and protecting his social recognition by few but deep associations (item 13). This article is interlinked with the later annexes’ credit and security provisions.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 【Declarative Enumeration of Rights More Important Than Money】, Article 4 【Ranking of Values】, Article 83 【Systematic Compilation of All Primary, Essential, Tangible and Intangible Subject Matters】, Annex A.05.001 【Detailed Implementing Rules on Anti-Extremism, Credit Evaluation and Support for Individual Belief】.</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29"/>
    <w:bookmarkStart w:id="30" w:name="Xef3d8c9a0d5058ea3f5d19cc797af2a27b63064"/>
    <w:p>
      <w:pPr>
        <w:pStyle w:val="Heading3"/>
        <w:spacing w:after="120" w:line="312" w:lineRule="auto"/>
        <w:jc w:val="left"/>
      </w:pPr>
      <w:r>
        <w:rPr>
          <w:rFonts w:ascii="DejaVu Serif" w:hAnsi="DejaVu Serif" w:eastAsia="Noto Serif CJK SC"/>
          <w:color w:val="000000"/>
          <w:sz w:val="26"/>
        </w:rPr>
        <w:t xml:space="preserve">Article 6 【On</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Faithfulness</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and</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Change</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in the Author’s Conduct】</w:t>
      </w:r>
    </w:p>
    <w:p>
      <w:pPr>
        <w:pStyle w:val="FirstParagraph"/>
        <w:spacing w:after="120" w:line="312" w:lineRule="auto"/>
      </w:pPr>
      <w:r>
        <w:rPr>
          <w:rFonts w:ascii="DejaVu Serif" w:hAnsi="DejaVu Serif" w:eastAsia="Noto Serif CJK SC"/>
          <w:color w:val="000000"/>
          <w:sz w:val="22"/>
        </w:rPr>
        <w:t xml:space="preserve">Prudent promises, maximum good faith; dare to correct, abandon face; long-termism, steady progress far.</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Prudent promises, maximum good faith; dare to correct, abandon face; long-termism, steady progress far.</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With sixteen characters this article establishes the general rule of the Author’s conduct — concise in words yet rich in meaning, it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mental method of conduct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whole text. The first eight characters speak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faithfulness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way toward others; the middle eight characters speak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way toward oneself; the last eight characters speak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constancy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way toward time. The three assist one another, constituting the complete posture of the Author in dealing with the world.</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Prudent promises, maximum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means to be doubly cautious before making a promise and to keep the promise as good as gold after making it; it is mutually referential with the principle of good faith of Article 90 and the exemption mechanism of Article 91.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Dare to correct, abandon face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psychological premise of the Author’s life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self-iteration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108, 109) — the courage to admit error surpasses the cleverness of glossing over faults.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Long-termism, steady progress far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general source of the long-termist thinking of Article 70.</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Faithfulness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appear contrary but in fact complete each other: faithfulness toward others must not be lightly altered, while one’s own faults must be bravely corrected.</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90 【The Principle of Good Faith】, Article 91 【Exemption from the Principle of Good Faith】, Article 70 【Long-Termist Thinking】, Article 108 【Bug Discovery and Iteration】, Article 109 【A Growth Mindset】.</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30"/>
    <w:bookmarkStart w:id="32" w:name="X553cca2c3b39919016d6510a86b9f3114bbff42"/>
    <w:p>
      <w:pPr>
        <w:pStyle w:val="Heading3"/>
        <w:spacing w:after="120" w:line="312" w:lineRule="auto"/>
        <w:jc w:val="left"/>
      </w:pPr>
      <w:r>
        <w:rPr>
          <w:rFonts w:ascii="DejaVu Serif" w:hAnsi="DejaVu Serif" w:eastAsia="Noto Serif CJK SC"/>
          <w:color w:val="000000"/>
          <w:sz w:val="26"/>
        </w:rPr>
        <w:t xml:space="preserve">Article 7 【The Ideal of the Universal Cosmic Citizen】</w:t>
      </w:r>
    </w:p>
    <w:p>
      <w:pPr>
        <w:pStyle w:val="FirstParagraph"/>
        <w:spacing w:after="120" w:line="312" w:lineRule="auto"/>
      </w:pPr>
      <w:r>
        <w:rPr>
          <w:rFonts w:ascii="DejaVu Serif" w:hAnsi="DejaVu Serif" w:eastAsia="Noto Serif CJK SC"/>
          <w:color w:val="000000"/>
          <w:sz w:val="22"/>
        </w:rPr>
        <w:t xml:space="preserve">The ideal of the universal cosmic citizen is an idealistic belief: the mind of the universal cosmic citizen does not harbour any constraint by concepts such as any existing state, political party or political proposition, and holds that every place in the world, even the entire cosmos, may be gone to, without any restriction; any matter that does not violate mandatory legal provisions may, under specific conditions, be done; it advocates establishing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public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cosmic-level political ecology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seeking the life state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universal win-win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sovereign of all under heaven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ideal of the universal cosmic citizen is an idealistic belief: the mind of the universal cosmic citizen does not harbour any constraint by concepts such as any existing state, political party or political proposition, and holds that every place in the world, even the entire cosmos, may be gone to, without any restriction; any matter that does not violate mandatory legal provisions may, under specific conditions, be done; it advocates establishing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public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cosmic-level political ecology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seeking the life state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universal win-win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sovereign of all under heaven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declaration of identity and belief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establishing the Author’s fundamental standpoint of taking himself as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universal cosmic citizen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essential meaning is threefold: first,</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freedom from national-ethnic constraint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not bound by the concepts of any existing state, political party or political proposition; second,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universal accessibility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every place in the world, even the cosmos, may be gone to; third,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acting in accordance with law</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any matter that does not violate mandatory legal provisions may, under specific conditions, be done. This is the intellectual fountainhead of the provisions 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political neutrality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non-participation in war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Articles 94 to 99.</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citizen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not a legal status but an idealistic status — a self-identification and worldview transcending national boundaries. This article is the formal declaration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in the same lineage as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path of Article 1 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cosmic-civilization community with a shared future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1-2. The phrases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public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cosmic-level political ecology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sovereign of all under heaven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mark the ultimate configuration the Author aspires to. It must be noted, however, that this article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violating mandatory legal provisions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boundary of action, jointly safeguarding the legal baseline together with Article 98 【The Absolute Ultimate Baseline of Life Activities】 and Article 125 【Response to Amendment of Laws and Regulations】.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Being a cosmic citizen, may one then be free from the binding of the law of any state?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No. A cosmic citizen is a transcendence in ideal, not an exemption in law. Wherever one is within the territory of a state or place, one is bound by its currently effective law; Article 125 of the Charter expressly provides that where the Charter irreconcilably conflicts with the mandatory provisions of the laws and regulations of the place where one is, the Charter’s provisions shall be amended in accordance with law and then implemented. Thus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vision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this article 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not mutually exclusive.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【Purposes of the Charter】, Article 1-2 【Supreme Programmatic Ideal】, Article 93 【The Meaning of Patriotism and Exemptions】, Articles 94 to 99, Article 125 【Response to Amendment of Laws and Regulations】.</w:t>
            </w:r>
          </w:p>
        </w:tc>
      </w:tr>
      <w:tr>
        <w:tc>
          <w:tcPr/>
          <w:p>
            <w:pPr>
              <w:pStyle w:val="Compact"/>
              <w:spacing w:after="40" w:line="288" w:lineRule="auto"/>
            </w:pPr>
          </w:p>
        </w:tc>
      </w:tr>
      <w:tr>
        <w:tc>
          <w:tcPr/>
          <w:p>
            <w:pPr>
              <w:pStyle w:val="Heading2"/>
              <w:spacing w:after="40" w:line="288" w:lineRule="auto"/>
              <w:jc w:val="left"/>
            </w:pPr>
            <w:bookmarkStart w:id="31" w:name="volume-two-the-chapter-on-the-ideal-life"/>
            <w:r>
              <w:rPr>
                <w:rFonts w:ascii="DejaVu Serif" w:hAnsi="DejaVu Serif" w:eastAsia="Noto Sans CJK SC"/>
                <w:color w:val="000000"/>
                <w:sz w:val="19"/>
              </w:rPr>
              <w:t xml:space="preserve">Volume Two — The Chapter on the Ideal Life</w:t>
            </w:r>
            <w:bookmarkEnd w:id="31"/>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32"/>
    <w:bookmarkStart w:id="33" w:name="Xda45db69da9528ad2bb89ad25d7a376ce00a3b8"/>
    <w:p>
      <w:pPr>
        <w:pStyle w:val="Heading3"/>
        <w:spacing w:after="120" w:line="312" w:lineRule="auto"/>
        <w:jc w:val="left"/>
      </w:pPr>
      <w:r>
        <w:rPr>
          <w:rFonts w:ascii="DejaVu Serif" w:hAnsi="DejaVu Serif" w:eastAsia="Noto Serif CJK SC"/>
          <w:color w:val="000000"/>
          <w:sz w:val="26"/>
        </w:rPr>
        <w:t xml:space="preserve">Article 8 【Description of the Work, Activities, Living Conditions and Ways of Life (Ideal Life, Personality) the Author Intends to Pursue】</w:t>
      </w:r>
    </w:p>
    <w:p>
      <w:pPr>
        <w:pStyle w:val="FirstParagraph"/>
        <w:spacing w:after="120" w:line="312" w:lineRule="auto"/>
      </w:pPr>
      <w:r>
        <w:rPr>
          <w:rFonts w:ascii="DejaVu Serif" w:hAnsi="DejaVu Serif" w:eastAsia="Noto Serif CJK SC"/>
          <w:color w:val="000000"/>
          <w:sz w:val="22"/>
        </w:rPr>
        <w:t xml:space="preserve">The Author intends to continuously pursue, in a sojourning manner, planning and organizing work related to a series of tasks connected with foreign-related affairs such as language (especially activities related to commerce, investment and finance) — consulting, planning, agency, exhibitions, tourism, book writing, audio-video recording, language and speech translation, publishing, etc.</w:t>
      </w:r>
    </w:p>
    <w:p>
      <w:pPr>
        <w:pStyle w:val="BodyText"/>
        <w:spacing w:after="120" w:line="312" w:lineRule="auto"/>
      </w:pPr>
      <w:r>
        <w:rPr>
          <w:rFonts w:ascii="DejaVu Serif" w:hAnsi="DejaVu Serif" w:eastAsia="Noto Serif CJK SC"/>
          <w:color w:val="000000"/>
          <w:sz w:val="22"/>
        </w:rPr>
        <w:t xml:space="preserve">And, on the basis of the above matters, to engage in activities related to international business, finance, trade and operations — entrepreneurship, investment, private fundraising fund (including equity-investment and securities-investment types ²) operation and management, establishment and operation of asset-management companies, and global asset allocation for the individual and the family — and thereby, through 【a monthly cash-flow income of RMB 100k+】, ultimately to enjoy the maximally feasible liberalized ideal life state and mode of a private and independent sojourning-style private office mode and way of life. (Note: ² the minimum feasible condition is to obtain the fund-practitioner qualification and the securities-practitioner qualification issued respectively by the Asset Management Association of China and the Securities Association of China; where necessary, consideration may be given to obtaining qualifications of a related nature such as the CFA and/or MF.)</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 intends to continuously pursue, in a sojourning manner, planning and organizing work related to a series of tasks connected with foreign-related affairs such as language (especially activities related to commerce, investment and finance) — consulting, planning, agency, exhibitions, tourism, book writing, audio-video recording, language and speech translation, publishing, etc.; and, on that basis, to engage in activities related to international business, finance, trade and operations — entrepreneurship, investment, private fundraising fund (including equity-investment and securities-investment types) operation and management, establishment and operation of asset-management companies, and global asset allocation for the individual and the family — and thereby, through a monthly cash-flow income of RMB 100k+, ultimately to enjoy the maximally feasible liberalized ideal life state and mode of a private and independent sojourning-style private office mode and way of life.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sets out in detail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picture of the ideal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as the concrete unfolding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direction of life advancement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1. Its structure is threefold —</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means – path – object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with the sojourning and the planning and organizing of foreign-related affairs as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means</w:t>
            </w:r>
            <w:r>
              <w:rPr>
                <w:rFonts w:ascii="DejaVu Serif" w:hAnsi="DejaVu Serif" w:eastAsia="Noto Sans CJK SC"/>
                <w:color w:val="000000"/>
                <w:sz w:val="19"/>
              </w:rPr>
              <w:t xml:space="preserve">, with entrepreneurship, investment, private funds and asset management as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path</w:t>
            </w:r>
            <w:r>
              <w:rPr>
                <w:rFonts w:ascii="DejaVu Serif" w:hAnsi="DejaVu Serif" w:eastAsia="Noto Sans CJK SC"/>
                <w:color w:val="000000"/>
                <w:sz w:val="19"/>
              </w:rPr>
              <w:t xml:space="preserve">, and with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 monthly cash-flow income of RMB 100k+</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 private and independent sojourning-style free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object</w:t>
            </w:r>
            <w:r>
              <w:rPr>
                <w:rFonts w:ascii="DejaVu Serif" w:hAnsi="DejaVu Serif" w:eastAsia="Noto Sans CJK SC"/>
                <w:color w:val="000000"/>
                <w:sz w:val="19"/>
              </w:rPr>
              <w:t xml:space="preserve">. Together with Article 8-2 (sequential direction), Article 8-3 (red lines for venture capital), Article 8-4 (substitutability of a private fund) and Article 8-5 (non-monetary capital contribution), this article forms the complete norm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 sojourning manner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not a matter of touring, but the core working-and-living form of the Author’s life (interlinked with Article 22 【The Life Condition of Global Sojourning】).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Foreign-related affairs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grounded in language, cover consulting, planning, agency, exhibitions, translation, publishing and the like, conforming to the Author’s identities (Article 2)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 multilingual person, a multilingual writer and an international sojourner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 monthly cash-flow income of RMB 100k+</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quantified threshold of the free life, linked into a financial ladder with Article 18 【The Daily Cash-Flow Baseline of USD 45】, Article 19 【Cash Reserves】 and Article 21 【The Final Goal】. The bracketed note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minimum feasible condition is to obtain … the fund-practitioner qualification and the securities-practitioner qualification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compliance premise for entering the field of private funds.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8-2 to 8-5, Article 21 【The Final Goal of Life】, Article 22 【The Life Condition of Global Sojourning】, Article 57 【Sources of Cash Flow】, Article 107 【Smooth Career-Industry Leaps, Part One】.</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33"/>
    <w:bookmarkStart w:id="34" w:name="X0ae10e5111d7aed3b584483b0c2e1af3f05b384"/>
    <w:p>
      <w:pPr>
        <w:pStyle w:val="Heading3"/>
        <w:spacing w:after="120" w:line="312" w:lineRule="auto"/>
        <w:jc w:val="left"/>
      </w:pPr>
      <w:r>
        <w:rPr>
          <w:rFonts w:ascii="DejaVu Serif" w:hAnsi="DejaVu Serif" w:eastAsia="Noto Serif CJK SC"/>
          <w:color w:val="000000"/>
          <w:sz w:val="26"/>
        </w:rPr>
        <w:t xml:space="preserve">Article 8-2 【Sequential Arrangement of the Directions of Life’s Advancement】</w:t>
      </w:r>
    </w:p>
    <w:p>
      <w:pPr>
        <w:pStyle w:val="FirstParagraph"/>
        <w:spacing w:after="120" w:line="312" w:lineRule="auto"/>
      </w:pPr>
      <w:r>
        <w:rPr>
          <w:rFonts w:ascii="DejaVu Serif" w:hAnsi="DejaVu Serif" w:eastAsia="Noto Serif CJK SC"/>
          <w:color w:val="000000"/>
          <w:sz w:val="22"/>
        </w:rPr>
        <w:t xml:space="preserve">The Author’s directions of life advancement are arranged in the following order; at each step it suffices to perform only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minimum feasible essentialist step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(1) by means of such industries as consulting, planning ³, intermediary, agency, leasing and finance (including private equity funds, private securities funds and their internationalization and globalization), conduct small-amount transactions aimed at specific subject matters of specific needs; (Note: ³ it may be done orally or in writing.) (2) when the minimum feasible conditions provided by the Company Law are met, establish a corporate legal-person entity, and when revenue reaches 100 million+ yuan, at the same time plan and design the top-level structure of a 【group-oriented】 corporate legal-person entity; (3) when revenue stabilizes at CNY 300k+, begin to recruit 1–2 assistants; (4) when revenue stabilizes at CNY 1 million+, begin to recruit 1–2 company members, civil and commercial partners, civil and commercial cooperators, engaged personnel, civil and commercial partners, civil and commercial cooperators, engaged personnel (workers); (5) when revenue reaches 1 million+, begin to document and standardize the business; (6) when revenue reaches 10 million+, begin to strengthen marketing activities and raise the per-client transaction value; (7) when revenue reaches 100 million+, begin to restructure the business model of the entire operation (carrying out the top-level design of a membership system and a club system, and of internationalization and ecologicalization); (8) when revenue reaches 100 million+ and the individual’s idle surplus funds on hand reach 1 million+ or more, begin to establish a private fund and conduct equity investment, and thereafter an asset-management company should be established.</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directions of life advancement are arranged in the following order; at each step only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feasible essentialist step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performed: (1) by means of consulting, planning, intermediary, agency, leasing, finance (including private equity funds, private securities funds and their internationalization and globalization), conduct small-amount transactions aimed at specific subject matters of specific needs; (2) when the minimum feasible conditions provided by the Company Law are met, establish a corporate legal-person entity, and when revenue reaches 100 million+ yuan, at the same time plan and design the top-level structure of a group-oriented corporate legal-person entity; (3) when revenue stabilizes at CNY 300k+, begin to recruit assistants; (4) when revenue stabilizes at CNY 1 million+, begin to recruit civil and commercial partners, civil and commercial cooperators, etc.; (5) …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decomposes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into a ladder that may be advanced step by step, each step taking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feasible essentialist step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criterion — not doing things prematurely, but only what is minimal and necessary at the moment. This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laddering + minimum feasible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method of advancement is the methodological feature of the Author’s life strategy, of the same mental method as Article 49 【The MVP Principle】 and Article 59 【The General Model of Business Development】.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order of the ladder proceeds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small-amount transactions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establishing a legal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forming a team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group-oriented structure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echoing Article 54 【The Core and Critical Matters on Which to Focus at Each Stage from Penniless to the World’s Richest】. Wherever the expression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recruiting personnel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involved, in accordance with the express provision of terminology at the end of the Charter’s text, the words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company member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engaged personnel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 like should be understood as one or more of civil and commercial partners, civil and commercial cooperators and engaged personnel; the organizational form of the Author’s life takes partnership and cooperation as its main body, and does not adopt the employment-and-hierarchy system.</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main text of this article contains historical expressions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recruit 1–2 company members … civil and commercial partners, civil and commercial cooperators, engaged personnel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all of which are understood in accordance with the express provision of terminology in the Charter and the exemption rule of the TERM-REVIEW-001 comparison table, that is, with partnership and cooperative relations as the substance.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 Article 8-3, Article 54, Article 59, Article 107.</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34"/>
    <w:bookmarkStart w:id="35" w:name="Xde0be6fbe1e42ee13e5a09078b609ecb9c9d299"/>
    <w:p>
      <w:pPr>
        <w:pStyle w:val="Heading3"/>
        <w:spacing w:after="120" w:line="312" w:lineRule="auto"/>
        <w:jc w:val="left"/>
      </w:pPr>
      <w:r>
        <w:rPr>
          <w:rFonts w:ascii="DejaVu Serif" w:hAnsi="DejaVu Serif" w:eastAsia="Noto Serif CJK SC"/>
          <w:color w:val="000000"/>
          <w:sz w:val="26"/>
        </w:rPr>
        <w:t xml:space="preserve">Article 8-3 【Red Lines for the Author’s Venture-Capital Activities】</w:t>
      </w:r>
    </w:p>
    <w:p>
      <w:pPr>
        <w:pStyle w:val="FirstParagraph"/>
        <w:spacing w:after="120" w:line="312" w:lineRule="auto"/>
      </w:pPr>
      <w:r>
        <w:rPr>
          <w:rFonts w:ascii="DejaVu Serif" w:hAnsi="DejaVu Serif" w:eastAsia="Noto Serif CJK SC"/>
          <w:color w:val="000000"/>
          <w:sz w:val="22"/>
        </w:rPr>
        <w:t xml:space="preserve">The Author’s red lines for venture-capital activities are as follows: (1) assets with negative cash flow are impermissible: ① total cost amount; ② down payment or monthly instalment; ③ macro composite interest rate; ④ cash flow; ⑤ total liabilities; ⑥ own funds. (2) loans whose bank monthly instalment and interest exceed the positive cash inflow are impermissible.</w:t>
      </w:r>
    </w:p>
    <w:p>
      <w:pPr>
        <w:pStyle w:val="Compact"/>
        <w:numPr>
          <w:ilvl w:val="0"/>
          <w:numId w:val="1007"/>
        </w:numPr>
        <w:spacing w:after="120" w:line="312" w:lineRule="auto"/>
      </w:pPr>
      <w:r>
        <w:rPr>
          <w:rFonts w:ascii="DejaVu Serif" w:hAnsi="DejaVu Serif" w:eastAsia="Noto Serif CJK SC"/>
          <w:color w:val="000000"/>
          <w:sz w:val="22"/>
        </w:rPr>
        <w:t xml:space="preserve">In financing from venture capital (VC), one resolutely does not sign a personal joint-and-several guarantee. (4) In principle, one only launches asset-light, zero-cost or low-cost entrepreneurial projects. (5) Other circumstances essentially the same that harm the Author’s rights and interests of the same nature or a similar nature in terms of the clauses.</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red lines for venture-capital activities are as follows: (1) assets with negative cash flow are impermissible: ① total cost amount; ② down payment or monthly instalment; ③ macro composite interest rate; ④ cash flow; ⑤ total liabilities; ⑥ own funds. (2) loans whose bank monthly instalment and interest exceed the positive cash inflow are impermissible. (3) In financing from venture capital (VC), one resolutely does not sign a personal joint-and-several guarantee. (4) In principle, one only launches asset-light, zero-cost or low-cost entrepreneurial projects. (5) Other circumstances essentially the same that harm the Author’s rights and interests of the same nature or a similar nature in terms of the clauses.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five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red lines that may not be crossed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all the Author’s entrepreneurial and investment activities, whose core spirit is</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never to bear debt that restricts freedom, and never to take the risk of personal joint-and-several liability</w:t>
            </w:r>
            <w:r>
              <w:rPr>
                <w:rFonts w:ascii="DejaVu Serif" w:hAnsi="DejaVu Serif" w:eastAsia="Noto Sans CJK SC"/>
                <w:color w:val="000000"/>
                <w:sz w:val="19"/>
              </w:rPr>
              <w:t xml:space="preserve">. Together with Article 8-4</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 private fund is not indispensable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Article 8-5, and the series of debt provisions of Article 68, it safeguards the baseline of the Author’s financial safety.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Items (1) and (2) are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financial red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assets with negative cash flow, and loans whose monthly instalment exceeds the cash inflow, are categorically impermissible; this is the iron rule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cash-flow-ism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in the same lineage as Articles 17, 19 and 21. Item (3)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guarantee red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once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personal joint-and-several guarantee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signed, personal liberty and asset safety are placed in the hands of others, and so it is resolutely not signed. Item (4)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asset-structure red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in principle only asset-light projects are undertaken, and the burden of heavy assets is contrary to the aspiration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global sojourning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 Article 8-4, Article 8-5, Article 19 【Cash Reserves】, Article 21 【The Final Goal】, Articles 68-2 to 68-6 【Debt Repayment】.</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35"/>
    <w:bookmarkStart w:id="36" w:name="X7735962558eafbedefc41721960fd579cd03e59"/>
    <w:p>
      <w:pPr>
        <w:pStyle w:val="Heading3"/>
        <w:spacing w:after="120" w:line="312" w:lineRule="auto"/>
        <w:jc w:val="left"/>
      </w:pPr>
      <w:r>
        <w:rPr>
          <w:rFonts w:ascii="DejaVu Serif" w:hAnsi="DejaVu Serif" w:eastAsia="Noto Serif CJK SC"/>
          <w:color w:val="000000"/>
          <w:sz w:val="26"/>
        </w:rPr>
        <w:t xml:space="preserve">Article 8-4 【Substitutability of the Establishment of a Private Fund】</w:t>
      </w:r>
    </w:p>
    <w:p>
      <w:pPr>
        <w:pStyle w:val="FirstParagraph"/>
        <w:spacing w:after="120" w:line="312" w:lineRule="auto"/>
      </w:pPr>
      <w:r>
        <w:rPr>
          <w:rFonts w:ascii="DejaVu Serif" w:hAnsi="DejaVu Serif" w:eastAsia="Noto Serif CJK SC"/>
          <w:color w:val="000000"/>
          <w:sz w:val="22"/>
        </w:rPr>
        <w:t xml:space="preserve">In accordance with law and the principles of this Charter, and under this Charter, the Author lists the establishment of a private fund as an optional item, but in no circumstances is it a mandatory life project **#This provision was added under Article 3 of the First Amendment, lowering the mandatory requirement for the establishment of a private fund, providing greater flexibility for life planning and avoiding single-path dependence#*.</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accordance with law and the principles of this Charter, and under this Charter, the Author lists the establishment of a private fund as an optional item, but in no circumstances is it a mandatory life project.</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Article 3 of the First Amendment.)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was added by the First Amendment, loosening the constraints on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changing the establishment of a private fund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mandatory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optional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meaning is: the paths of life run in parallel, not trapped by a single path; this is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substitutability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referential with Article 8-2 (sequential direction) and Article 107 (career leaps), showing that the Author’s planning of life is wise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running multiple paths in parallel and advancing at the right time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rather than proceeding rigidly along one. The three major corporate legal-person entities listed in Article 1-2 (an investment bank, an asset-management company, a private fund company) may henceforth all be optional, as conditions and circumstances dictate.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【Supreme Programmatic Ideal】, Article 8, Article 8-5, Article 107 【Career Leaps】, the First Amendment (Annex A.01.001).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36"/>
    <w:bookmarkStart w:id="37" w:name="X24e32a55bf343e8bcdd38e32cf603ef4202ff4b"/>
    <w:p>
      <w:pPr>
        <w:pStyle w:val="Heading3"/>
        <w:spacing w:after="120" w:line="312" w:lineRule="auto"/>
        <w:jc w:val="left"/>
      </w:pPr>
      <w:r>
        <w:rPr>
          <w:rFonts w:ascii="DejaVu Serif" w:hAnsi="DejaVu Serif" w:eastAsia="Noto Serif CJK SC"/>
          <w:color w:val="000000"/>
          <w:sz w:val="26"/>
        </w:rPr>
        <w:t xml:space="preserve">Article 8-5 【Permissibility of Non-Monetary Ways for Shareholders to Enter Investment】</w:t>
      </w:r>
    </w:p>
    <w:p>
      <w:pPr>
        <w:pStyle w:val="FirstParagraph"/>
        <w:spacing w:after="120" w:line="312" w:lineRule="auto"/>
      </w:pPr>
      <w:r>
        <w:rPr>
          <w:rFonts w:ascii="DejaVu Serif" w:hAnsi="DejaVu Serif" w:eastAsia="Noto Serif CJK SC"/>
          <w:color w:val="000000"/>
          <w:sz w:val="22"/>
        </w:rPr>
        <w:t xml:space="preserve">Under this Charter, in the Author’s ways of investing (in any corporate, enterprise or other legal-person or non-legal-person entity), non-monetary ways for shareholders to enter investment are permissible and may be realized through: (1) by equity; (2) by debt; (3) by intellectual property rights (IPR); (4) by the right to use specific subject matter that may be contributed as capital in accordance with law and may be appraised; (5) by a combined investment of one or more of the other non-monetary subject matters for shareholders’ entry that may be lawfully used **#This provision was added under Article 4 of the First Amendment, expanding the diversity of investment methods, adapting to the investment needs of different asset types (such as intellectual property and rights to use subject matter) and reducing dependence on monetary funds#*.</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1"/>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this Charter, in the Author’s ways of investing (in corporate, enterprise and other legal-person or non-legal-person entities), non-monetary ways for shareholders to enter investment are permissible, and the ways of investment may be realized through: (1) by equity; (2) by debt; (3) by intellectual property rights (IPR); (4) by the right to use specific subject matter that may be contributed as capital in accordance with law and may be appraised; (5) by a combined investment of one or more of the other non-monetary subject matters for shareholders’ entry that may be lawfully used.</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Article 4 of the First Amendment.)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was added by the First Amendment, broadening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capital-contribution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means of investment and permitting entry by non-monetary means such as equity, debt, intellectual property and rights to use subject matter, providing diversity for asset allocation and reducing dependence on monetary funds.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echoes Articles 100 to 103 【Provisions on Intellectual Property】 and Article 21 【The Final Goal of Equity, Debt, Securities, etc.】, showing the Author’s asset outlook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IPR as the pillar of the Financial Ark</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valuation and compliance of non-monetary capital contributions must be carried out in accordance with the currently effective Company Law and the relevant departmental rules.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 Article 21, Articles 100 to 103 【Intellectual Property】, the First Amendment (Annex A.01.001).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37"/>
    <w:bookmarkStart w:id="38" w:name="Xe931f8b52bf69b44ed4a433a60519070576fea9"/>
    <w:p>
      <w:pPr>
        <w:pStyle w:val="Heading3"/>
        <w:spacing w:after="120" w:line="312" w:lineRule="auto"/>
        <w:jc w:val="left"/>
      </w:pPr>
      <w:r>
        <w:rPr>
          <w:rFonts w:ascii="DejaVu Serif" w:hAnsi="DejaVu Serif" w:eastAsia="Noto Serif CJK SC"/>
          <w:color w:val="000000"/>
          <w:sz w:val="26"/>
        </w:rPr>
        <w:t xml:space="preserve">Article 9 【On the Formulation, Implementation Expectations and Mechanisms of the Strategies, Plans and Programs Covered by This Charter】</w:t>
      </w:r>
    </w:p>
    <w:p>
      <w:pPr>
        <w:pStyle w:val="FirstParagraph"/>
        <w:spacing w:after="120" w:line="312" w:lineRule="auto"/>
      </w:pPr>
      <w:r>
        <w:rPr>
          <w:rFonts w:ascii="DejaVu Serif" w:hAnsi="DejaVu Serif" w:eastAsia="Noto Serif CJK SC"/>
          <w:color w:val="000000"/>
          <w:sz w:val="22"/>
        </w:rPr>
        <w:t xml:space="preserve">The author of this Charter ought to formulate the relevant expected indicators, implementation mechanisms and supervision mechanisms for the formulation and implementation of this Charter, the Author’s life strategy, implementation guidelines, programs and plans, and to make a good deployment of the action content of the relevant persons (including but not limited to the relevant planners, directors, organizers, implementers and supervisors), including but not limited to the relevant specific content statements, evaluation dimensions and their statements, and the relevant data-based indicators; to make a good mechanism for the expectation management and coordination of the relevant persons; to adhere to the principle of disclosing to the corresponding counterparts the relevant minimum feasible necessary information, and to appropriately maintain confidentiality of the relevant specific information from unspecified groups and unrelated persons (including relatives); and at the same time to carry out the implementation of the supervision and inspection of the established tasks.</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 of this Charter ought to formulate the relevant expected indicators, implementation mechanisms and supervision mechanisms for the formulation and implementation of this Charter, the Author’s life strategy, implementation guidelines, programs and plans, and to make a good deployment of the action content of the relevant persons (including the relevant specific content statements, evaluation dimensions and their statements, and the relevant data-based indicators); to make a good mechanism for the expectation management and coordination of the relevant persons; to adhere to the principle of disclosing (disclose) to the corresponding counterparts the relevant minimum feasible necessary information, and to appropriately maintain confidentiality of the relevant specific information from unspecified groups and unrelated persons (including relatives); and at the same time to carry out the implementation of the supervision and inspection of the established tasks.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establishes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implementation and supervision mechanism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providing a guarantee for the realization of the Author’s life strategy. Its essential points are three: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setting indicators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(expected indicators, data-based indicators, evaluation dimensions) — so that goals may be measured;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establishing mechanisms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(implementation mechanism, supervision mechanism, expectation-management and coordination mechanism) — so that action may be traced; and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setting information rules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(minimum necessary disclosure to counterparts, appropriate confidentiality from unrelated persons) — so that information may be controlled.</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transplants the logic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goal – execution – supervision – coordination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corporate governance into the governance of individual life, a feature of this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governing the person by the way of governing an enterprise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feasible necessary information disclosure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mutually referential with Article 91 【Exemption from Good Faith】, Article 114 【Payment-Based Screening】 and Annex A.05.001 【Credit Evaluation】. The essence of the supervision mechanism lies in the realization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established tasks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carried on with Article 119 【The Principle of Regular Review】.</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119 【The Principle of Regular Review】, Article 91 【Exemption from the Principle of Good Faith】, Article 93 【The Meaning of Patriotism and Exemptions】, Annex A.05.001.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38"/>
    <w:bookmarkStart w:id="39" w:name="X710c5e5fd39b38d3935782fba5a5d09695fb2ea"/>
    <w:p>
      <w:pPr>
        <w:pStyle w:val="Heading3"/>
        <w:spacing w:after="120" w:line="312" w:lineRule="auto"/>
        <w:jc w:val="left"/>
      </w:pPr>
      <w:r>
        <w:rPr>
          <w:rFonts w:ascii="DejaVu Serif" w:hAnsi="DejaVu Serif" w:eastAsia="Noto Serif CJK SC"/>
          <w:color w:val="000000"/>
          <w:sz w:val="26"/>
        </w:rPr>
        <w:t xml:space="preserve">Article 10 【The Mission of the Entrepreneur, Business Owner, Investor and Private-Fund Manager】</w:t>
      </w:r>
    </w:p>
    <w:p>
      <w:pPr>
        <w:pStyle w:val="FirstParagraph"/>
        <w:spacing w:after="120" w:line="312" w:lineRule="auto"/>
      </w:pPr>
      <w:r>
        <w:rPr>
          <w:rFonts w:ascii="DejaVu Serif" w:hAnsi="DejaVu Serif" w:eastAsia="Noto Serif CJK SC"/>
          <w:color w:val="000000"/>
          <w:sz w:val="22"/>
        </w:rPr>
        <w:t xml:space="preserve">The mission of the entrepreneur, business owner, investor and private-fund manager is, through currency as a medium of trust and as a material foundation, and through creating assets that can run automatically (companies, etc.), to obtain the freedom of the possibility of personal choice and to transform the existing wage structure and corporate governance model, and thereby to fulfil social responsibility and realize the Author’s life mission and vision.</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mission of the entrepreneur, business owner, investor and private-fund manager is, through currency as a medium of trust and as a material foundation, and through creating assets that can run automatically (companies, etc.), to obtain the freedom of the possibility of personal choice and to transform the existing wage structure and corporate governance model, and thereby to fulfil social responsibility and realize the Author’s life mission and vision.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declaration of professional mission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meaning is: the ultimate purpose of entrepreneurship, investment and private-fund management is not merely to make money, but to</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create assets that can run automatically in order to obtain freedom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to</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transform the old wage structure and corporate governance model</w:t>
            </w:r>
            <w:r>
              <w:rPr>
                <w:rFonts w:ascii="DejaVu Serif" w:hAnsi="DejaVu Serif" w:eastAsia="Noto Sans CJK SC"/>
                <w:color w:val="000000"/>
                <w:sz w:val="19"/>
              </w:rPr>
              <w:t xml:space="preserve">, and thereby to fulfil social responsibility and realize the life vision.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Creating assets that can run automatically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purpose of Article 20 【Core-Asset Creation】 — exchanging the automatic running of assets for the free choice of the person.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Transforming the existing wage structure and corporate governance model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social ideal of de-employment-ization and the promotion of partnership and cooperation, interlinked with Article 10, Article 58 【The Essence of Wages】 and Article 63 【The Stages of the Financial Ark】.</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currency as a medium of trust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echoes Article 68 【The Essence of Currency】.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20 【Core-Asset Creation】, Article 58 【The Essence of Wages】, Article 63 【The Macro Periods of Building the Financial Ark】, Article 78 【The Ideal Upper Limit of Life’s Striving】.</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39"/>
    <w:bookmarkStart w:id="41" w:name="X6a1ac578b93d82fc0eb8f4d77b827338d7e96dc"/>
    <w:p>
      <w:pPr>
        <w:pStyle w:val="Heading3"/>
        <w:spacing w:after="120" w:line="312" w:lineRule="auto"/>
        <w:jc w:val="left"/>
      </w:pPr>
      <w:r>
        <w:rPr>
          <w:rFonts w:ascii="DejaVu Serif" w:hAnsi="DejaVu Serif" w:eastAsia="Noto Serif CJK SC"/>
          <w:color w:val="000000"/>
          <w:sz w:val="26"/>
        </w:rPr>
        <w:t xml:space="preserve">Article 11 【Enumeration and Declaration of the Author’s Relatively Strong Abilities】</w:t>
      </w:r>
    </w:p>
    <w:p>
      <w:pPr>
        <w:pStyle w:val="FirstParagraph"/>
        <w:spacing w:after="120" w:line="312" w:lineRule="auto"/>
      </w:pPr>
      <w:r>
        <w:rPr>
          <w:rFonts w:ascii="DejaVu Serif" w:hAnsi="DejaVu Serif" w:eastAsia="Noto Serif CJK SC"/>
          <w:color w:val="000000"/>
          <w:sz w:val="22"/>
        </w:rPr>
        <w:t xml:space="preserve">Having been tested in practice, the following abilities of the Author are relatively strong, and especially those ranked higher ought to be continuously and emphatically cultivated and developed: (6) the ability to make others act for the Author while empty-handed (the power to inspire, encourage and guide); (7) operational ability; (8) decision-making ability; (9) planning ability; (10) organizing ability; (11) logical ability; (12) negotiating ability; (13) language and speech ability; (14) learning ability; (15) leadership; (16) comprehensive management ability: 1) paragraph 1. especially capital-management ability; 2) paragraph 2. fund-management ability; 3) paragraph 3. organizational-management ability; 4) paragraph 4. core-personnel management ability; (17) shaping and influencing power (the ability to create momentum).</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Having been tested in practice, the following abilities of the Author are relatively strong, and especially those ranked higher ought to be continuously and emphatically cultivated and developed: (ten-odd items in all, including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ability to make others act for the Author while empty-handed (the power to inspire, encourage and guide)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operational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decision-making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planning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organizing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logical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negotiating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language and speech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learning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leadership</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comprehensive management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(including capital management, fund management, organizational management and core-personnel management),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shaping and influencing power (the ability to create momentum)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etc.;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 Author’s self-enumeration and declaration of his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list of abilities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whose purpose is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know one’s strengths and develop them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to lay the foundation of development on the basis of self-knowledge. Together with Article 2 (the ideal personality) and Article 32 (the knowledge structure), this article forms the Author’s self-awareness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ability–cognition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Among the abilities listed, the first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ability to make others act for the Author while empty-handed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(inspiration, guidance), from which it may be seen that the Author’s way of accomplishing things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accomplishing things through the strength of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namely organizing, inspiring and integrating, rather than attending to everything personally; it is interlinked with Article 27 【The Principle of Concentrating on the Most Core Action】 and Article 71 【Positioning-Ism and Market-Making】.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comprehensive management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includes capital management, fund management, organizational management and core-personnel management, referential with Article 8-3 【Red Lines for Venture Capital】 and Article 10 【Mission】.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 【The Ideal Personality】, Article 32 【Knowledge Structure and Cognitive Map】, Article 27 【The Principle of Concentrating on the Most Core Action】, Article 71 【Positioning-Ism and Market-Making Thinking】.</w:t>
            </w:r>
          </w:p>
        </w:tc>
      </w:tr>
      <w:tr>
        <w:tc>
          <w:tcPr/>
          <w:p>
            <w:pPr>
              <w:pStyle w:val="Compact"/>
              <w:spacing w:after="40" w:line="288" w:lineRule="auto"/>
            </w:pPr>
          </w:p>
        </w:tc>
      </w:tr>
      <w:tr>
        <w:tc>
          <w:tcPr/>
          <w:p>
            <w:pPr>
              <w:pStyle w:val="Heading2"/>
              <w:spacing w:after="40" w:line="288" w:lineRule="auto"/>
              <w:jc w:val="left"/>
            </w:pPr>
            <w:bookmarkStart w:id="40" w:name="X853c558f52255b88aa667664c79fffe0b6e0c66"/>
            <w:r>
              <w:rPr>
                <w:rFonts w:ascii="DejaVu Serif" w:hAnsi="DejaVu Serif" w:eastAsia="Noto Sans CJK SC"/>
                <w:color w:val="000000"/>
                <w:sz w:val="19"/>
              </w:rPr>
              <w:t xml:space="preserve">Volume Three — The Chapter on the Baseline of Life</w:t>
            </w:r>
            <w:bookmarkEnd w:id="40"/>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41"/>
    <w:bookmarkStart w:id="42" w:name="Xd09fd057d37d603e3c80ccd6508f640f579d36d"/>
    <w:p>
      <w:pPr>
        <w:pStyle w:val="Heading3"/>
        <w:spacing w:after="120" w:line="312" w:lineRule="auto"/>
        <w:jc w:val="left"/>
      </w:pPr>
      <w:r>
        <w:rPr>
          <w:rFonts w:ascii="DejaVu Serif" w:hAnsi="DejaVu Serif" w:eastAsia="Noto Serif CJK SC"/>
          <w:color w:val="000000"/>
          <w:sz w:val="26"/>
        </w:rPr>
        <w:t xml:space="preserve">Article 12 【Declaration of the Absolute Baseline of Life】</w:t>
      </w:r>
    </w:p>
    <w:p>
      <w:pPr>
        <w:pStyle w:val="FirstParagraph"/>
        <w:spacing w:after="120" w:line="312" w:lineRule="auto"/>
      </w:pPr>
      <w:r>
        <w:rPr>
          <w:rFonts w:ascii="DejaVu Serif" w:hAnsi="DejaVu Serif" w:eastAsia="Noto Serif CJK SC"/>
          <w:color w:val="000000"/>
          <w:sz w:val="22"/>
        </w:rPr>
        <w:t xml:space="preserve">In no circumstances shall the Author’s own conduct actually reach the degree of fixed-term imprisonment of seven years or more (deprivation of political rights for life) under the criminal law and its judicial interpretations (constituting a crime and being sentenced to fixed-term imprisonment of seven years or more), or exceed that limit.</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no circumstances shall the Author’s own conduct actually reach the degree of fixed-term imprisonment of seven years or more (deprivation of political rights for life) under the criminal law and its judicial interpretations (constituting a crime and being sentenced to fixed-term imprisonment of seven years or more), or exceed that limit.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 Charter’s</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absolute baseline</w:t>
            </w:r>
            <w:r>
              <w:rPr>
                <w:rFonts w:ascii="DejaVu Serif" w:hAnsi="DejaVu Serif" w:eastAsia="Noto Sans CJK SC"/>
                <w:color w:val="000000"/>
                <w:sz w:val="19"/>
              </w:rPr>
              <w:t xml:space="preserve">, declaring the boundary of the Author’s conduct that may not be crossed —</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fixed-term imprisonment of seven years or more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establishment of this article does not grant what may be done, but is a</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self-imposed limit</w:t>
            </w:r>
            <w:r>
              <w:rPr>
                <w:rFonts w:ascii="DejaVu Serif" w:hAnsi="DejaVu Serif" w:eastAsia="Noto Sans CJK SC"/>
                <w:color w:val="000000"/>
                <w:sz w:val="19"/>
              </w:rPr>
              <w:t xml:space="preserve">: taking the severest punishment of the criminal law as the measure, it draws out a zone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must never be entered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absolute baseline standard of item (11) of Article 2,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anti-illegality 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originates precisely here.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fixed-term imprisonment of seven years or more (deprivation of political rights for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absolute measure, and its legislative technique is ingenious: rather than enumerating prohibited matters one by one, it uses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magnitude of punishment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standard, which automatically adjusts with amendments to the criminal law (see Annex H.01.001, the Interpretation Letter). The nature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risk-boundary yardstick</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shown in Article 125 【Response to Amendment of Laws and Regulations】 and the final paragraph of Article 127 is manifested here — this article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limitation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not 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authorization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Article 13 further, taking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personally violating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limit, enumerates the various absolute prohibitions.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seven years or more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this article changes upon amendment of the criminal law, does the Charter not change accordingly?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Indeed. This article takes the magnitude of punishment as its yardstick, not a fixed article number; therefore, when the criminal law is amended, the standard automatically updates with the criminal law and its judicial interpretations, without any need to amend the Charter. Annex H.01.001, the Interpretation Letter, has already given authoritative interpretation on this; see that letter.</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 Article 14, Article 49, Article 79, Annex H.01.001 【Interpretation Letter】, Article 125.</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42"/>
    <w:bookmarkStart w:id="43" w:name="X6d06ca8ed6bdd4bcb4301c091b2b051c2558005"/>
    <w:p>
      <w:pPr>
        <w:pStyle w:val="Heading3"/>
        <w:spacing w:after="120" w:line="312" w:lineRule="auto"/>
        <w:jc w:val="left"/>
      </w:pPr>
      <w:r>
        <w:rPr>
          <w:rFonts w:ascii="DejaVu Serif" w:hAnsi="DejaVu Serif" w:eastAsia="Noto Serif CJK SC"/>
          <w:color w:val="000000"/>
          <w:sz w:val="26"/>
        </w:rPr>
        <w:t xml:space="preserve">Article 13 【Supplementary Explanation of the Declaration of the Absolute Baseline of Life】</w:t>
      </w:r>
    </w:p>
    <w:p>
      <w:pPr>
        <w:pStyle w:val="FirstParagraph"/>
        <w:spacing w:after="120" w:line="312" w:lineRule="auto"/>
      </w:pPr>
      <w:r>
        <w:rPr>
          <w:rFonts w:ascii="DejaVu Serif" w:hAnsi="DejaVu Serif" w:eastAsia="Noto Serif CJK SC"/>
          <w:color w:val="000000"/>
          <w:sz w:val="22"/>
        </w:rPr>
        <w:t xml:space="preserve">The Author’s absolute baseline is, in principle, not to personally violate [where necessary, it may be discussed with others for them to implement on his behalf], as applicable at the time the conduct occurs: (1) fixed-term imprisonment of seven years or more (excluding this figure) for a single crime; (2) the corresponding provisions of the criminal law and the judicial interpretations of relevant laws for cumulative fixed-term imprisonment of twenty years (including this figure) or more, or life imprisonment or more, in concurrent punishment for several crimes; (3) ensuring that the Author himself is absolutely not subject to the punishment of death or life imprisonment (or deprivation of political rights for life) [because the Author regards the right to life, the right to subsistence, the right to health and the right to maintain bodily integrity as supreme rights, and because for a single act he in principle accepts five years’, or seven years’, at most ten years’ imprisonment; and for multiple acts at most twenty years’ imprisonment].</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absolute baseline is, in principle, not to personally violate [where necessary, it may be discussed with others for them to implement on his behalf], as applicable at the time the conduct occurs: (1) fixed-term imprisonment of seven years or more (excluding this figure) for a single crime; (2) the corresponding provisions of the criminal law and the judicial interpretations of relevant laws for cumulative fixed-term imprisonment of twenty years (including this figure) or more, or life imprisonment or more, in concurrent punishment for several crimes; (3) ensuring that the Author himself is absolutely not subject to the punishment of death or life imprisonment (or deprivation of political rights for life) (because the Author regards the right to life, the right to subsistence, the right to health and the right to maintain bodily integrity as supreme rights, and because for a single act he in principle accepts five years’, or seven years’, at most ten years’ imprisonment; and for multiple acts at most twenty years’ imprisonment).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supplementary explanation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12, refining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into three quantified standards: for a single crime not exceeding seven years (excluding this figure); for concurrent punishment of several crimes not exceeding twenty years (excluding this figure, in effect an upper limit); and the Author himself absolutely not subject to death or life imprisonment. Its legislative purpose lies in using a quantifiable term of imprisonment as the boundary, so as to make the baseline clear and discernible.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phrase of this article,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principle not to personally violate … where necessary, it may be discussed with others for them to implement on his behalf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is the operating rule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anti-illegality 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in principle the Author does not personally perform an act that touches the absolute baseline, and where necessary (within the limit of an acceptable term of imprisonment) may resort to agency, while strictly observing the procedures of application and review of Articles 14 and 15. Note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for a single crime at most ten years’ imprisonment, and for multiple acts at most twenty years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a psychological threshold under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extreme circumstances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not an encouragement to do so; Article 14 expressly provides that it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special and extraordinary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transitional, temporary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may not be taken as a long-term strategy.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14, Article 15, Article 49, Annex H.01.001.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43"/>
    <w:bookmarkStart w:id="44" w:name="article-13-2-prohibited-conduct-1"/>
    <w:p>
      <w:pPr>
        <w:pStyle w:val="Heading3"/>
        <w:spacing w:after="120" w:line="312" w:lineRule="auto"/>
        <w:jc w:val="left"/>
      </w:pPr>
      <w:r>
        <w:rPr>
          <w:rFonts w:ascii="DejaVu Serif" w:hAnsi="DejaVu Serif" w:eastAsia="Noto Serif CJK SC"/>
          <w:color w:val="000000"/>
          <w:sz w:val="26"/>
        </w:rPr>
        <w:t xml:space="preserve">Article 13-2 【Prohibited Conduct (1)】</w:t>
      </w:r>
    </w:p>
    <w:p>
      <w:pPr>
        <w:pStyle w:val="FirstParagraph"/>
        <w:spacing w:after="120" w:line="312" w:lineRule="auto"/>
      </w:pPr>
      <w:r>
        <w:rPr>
          <w:rFonts w:ascii="DejaVu Serif" w:hAnsi="DejaVu Serif" w:eastAsia="Noto Serif CJK SC"/>
          <w:color w:val="000000"/>
          <w:sz w:val="22"/>
        </w:rPr>
        <w:t xml:space="preserve">In any circumstances, the Author shall not engage in the following conduct: (4) depriving or disguisedly depriving another (counterpart) person of life; (5) depriving or disguisedly depriving another (counterpart) person of the right to subsistence; (6) depriving or disguisedly depriving another (counterpart) person of bodily health, or intending to harm it, or inflicting upon them physical (cruel) maltreatment; (7) [omitted for legal and regulatory compliance requirements]</w:t>
      </w:r>
      <w:r>
        <w:rPr>
          <w:rFonts w:ascii="DejaVu Serif" w:hAnsi="DejaVu Serif" w:eastAsia="Noto Serif CJK SC"/>
          <w:b/>
          <w:bCs/>
          <w:i/>
          <w:iCs/>
          <w:color w:val="000000"/>
          <w:sz w:val="22"/>
        </w:rPr>
        <w:t xml:space="preserve">; (8) [omitted for legal and regulatory compliance requirements]</w:t>
      </w:r>
      <w:r>
        <w:rPr>
          <w:rFonts w:ascii="DejaVu Serif" w:hAnsi="DejaVu Serif" w:eastAsia="Noto Serif CJK SC"/>
          <w:color w:val="000000"/>
          <w:sz w:val="22"/>
        </w:rPr>
        <w:t xml:space="preserve">; (9) otherwise depriving others of other rights of the same essence but different names as the above rights; (10) participating in activities of drug-related, mafia-natured organizations, (international) terrorist organizations or (international) extremist organizations; (11) participating in gambling within areas under the jurisdiction of the criminal law and other laws of the People’s Republic of China, or leading citizens of the People’s Republic of China to gamble abroad (excluding spontaneous and scattered gambling abroad not organized by the Author); (12) for purposes not of subjective good faith, depriving others of the right to think independently and to make choices autonomously based on independent thinking; (13) participating in gambling within areas under the jurisdiction of the criminal law and other laws of the People’s Republic of China, or leading citizens of the People’s Republic of China to gamble abroad (excluding spontaneous and scattered gambling abroad not organized by the Author)</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 This provision was added under Corrective Act (2), clarifying the absolutely prohibited conduct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 any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strengthening the baseline constraint; among them, items 4 and 5, being sensitive, are marked as classified in accordance with the rules#</w:t>
      </w:r>
      <w:r>
        <w:rPr>
          <w:rFonts w:ascii="DejaVu Serif" w:hAnsi="DejaVu Serif" w:eastAsia="Noto Serif CJK SC"/>
          <w:color w:val="000000"/>
          <w:sz w:val="22"/>
        </w:rPr>
        <w:t xml:space="preserve">.</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any circumstances, the Author shall not engage in the following conduct: (4) depriving or disguisedly depriving another (counterpart) person of life; (5) depriving or disguisedly depriving another (counterpart) person of the right to subsistence; (6) depriving or disguisedly depriving another (counterpart) person of bodily health, or intending to harm it, or inflicting upon them physical (cruel) maltreatment; (7) [omitted for legal and regulatory compliance requirements]; (8) [omitted for legal and regulatory compliance requirements]; (9) otherwise depriving others of other rights of the same essence but different names as the above rights; (10) participating in activities of drug-related, mafia-natured organizations, (international) terrorist organizations or (international) extremist organizations; (11) participating in gambling within areas under the jurisdiction of the criminal law and other laws of the People’s Republic of China, or leading citizens of the People’s Republic of China to gamble abroad (excluding spontaneous and scattered gambling abroad not organized by the Author); (12) for purposes not of subjective good faith … (the full text is subject to the authoritative text; the two classified items are omitted in accordance with the rules).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an absolute prohibition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any circumstances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may not be committed; it originates from</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Corrective Act (2)</w:t>
            </w:r>
            <w:r>
              <w:rPr>
                <w:rFonts w:ascii="DejaVu Serif" w:hAnsi="DejaVu Serif" w:eastAsia="Noto Sans CJK SC"/>
                <w:color w:val="000000"/>
                <w:sz w:val="19"/>
              </w:rPr>
              <w:t xml:space="preserve">, and together with Article 13-3 (not to be committed except where life is endangered), Article 13-4 (the territory of Chinese law) and Article 13-5 (non-Chinese legal territory) it forms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four categories of prohibited conduct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legislative purpose lies in listing concrete circumstances for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with the protection of the right to life, the right to subsistence, bodily health and human dignity at its core.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any circumstances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this article is the strongest form of prohibition, with no exception and no exemption; it is a prohibition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layer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Among the items listed, those depriving others of life, subsistence or health are the foremost prohibition; those participating in drug, mafia, terrorist or extremist organizations, owing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rigid, criminal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nature of such organizations, echo Article 144 【The Binary Iron Rule of Organizational Participation】 and Article 61 【Negative List of Themes for Organizing Activities】; the gambling items are limited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areas under the jurisdiction of Chinese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spontaneous and scattered gambling abroad is not within the prohibition, reflecting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territoriality in accordance with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12 to 17, Articles 13-3 to 13-6, Article 61 【Negative List of Themes for Organizing Activities】, Article 98 【The Absolute Ultimate Baseline of Life Activities】, Corrective Act (2).</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44"/>
    <w:bookmarkStart w:id="45" w:name="article-13-3-prohibited-conduct-2"/>
    <w:p>
      <w:pPr>
        <w:pStyle w:val="Heading3"/>
        <w:spacing w:after="120" w:line="312" w:lineRule="auto"/>
        <w:jc w:val="left"/>
      </w:pPr>
      <w:r>
        <w:rPr>
          <w:rFonts w:ascii="DejaVu Serif" w:hAnsi="DejaVu Serif" w:eastAsia="Noto Serif CJK SC"/>
          <w:color w:val="000000"/>
          <w:sz w:val="26"/>
        </w:rPr>
        <w:t xml:space="preserve">Article 13-3 【Prohibited Conduct (2)】</w:t>
      </w:r>
    </w:p>
    <w:p>
      <w:pPr>
        <w:pStyle w:val="FirstParagraph"/>
        <w:spacing w:after="120" w:line="312" w:lineRule="auto"/>
      </w:pPr>
      <w:r>
        <w:rPr>
          <w:rFonts w:ascii="DejaVu Serif" w:hAnsi="DejaVu Serif" w:eastAsia="Noto Serif CJK SC"/>
          <w:color w:val="000000"/>
          <w:sz w:val="22"/>
        </w:rPr>
        <w:t xml:space="preserve">In any circumstances other than those in which there is a serious realistic danger of endangering life, the Author shall not engage in the following conduct: (1) [omitted for legal and regulatory compliance requirements]</w:t>
      </w:r>
      <w:r>
        <w:rPr>
          <w:rFonts w:ascii="DejaVu Serif" w:hAnsi="DejaVu Serif" w:eastAsia="Noto Serif CJK SC"/>
          <w:b/>
          <w:bCs/>
          <w:i/>
          <w:iCs/>
          <w:color w:val="000000"/>
          <w:sz w:val="22"/>
        </w:rPr>
        <w:t xml:space="preserve">; (2) [omitted for legal and regulatory compliance requirements]</w:t>
      </w:r>
      <w:r>
        <w:rPr>
          <w:rFonts w:ascii="DejaVu Serif" w:hAnsi="DejaVu Serif" w:eastAsia="Noto Serif CJK SC"/>
          <w:color w:val="000000"/>
          <w:sz w:val="22"/>
        </w:rPr>
        <w:t xml:space="preserve">; (3) otherwise depriving others of other rights of the same essence but different names as the above rights; (4) depriving others of the right to independent thinking, the right to strategic self-determination, or the right to learn; (5) depriving others of rights similar in nature to the above rights **#This provision was added under Corrective Act (2), focusing on prohibitions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circumstances other than those endangering life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refining the constrained scenarios; among them, items 1 and 2, being sensitive, are marked as classified in accordance with the rules#*.</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any circumstances other than those in which there is a serious realistic danger of endangering life, the Author shall not engage in the following conduct: (1) [omitted]; (2) [omitted]; (3) otherwise depriving others of other rights of the same essence but different names as the above rights; (4) depriving others of the right to independent thinking, the right to strategic self-determination, or the right to learn; (5) depriving others of rights similar in nature to the above rights.</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Corrective Act (2).)</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one of the prohibitions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relative layer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apart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circumstances in which there is a serious realistic danger of endangering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 is categorically not to be committed. The object of its protection shifts from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 and health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preceding article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thought and 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namely the right to independent thinking, the right to strategic self-determination and the right to learn. This is the two sides of the same coin with the philosophical cornerstone of this chapter,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sovereign individual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do not do to others what you would not have done to yourself; the Author takes self-determination as supreme, and therefore absolutely does not deprive others of their self-determination.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exception of this article (a serious realistic danger of endangering life) carries the meaning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necessity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is opened up only in extreme circumstances. Items (1) and (2) listed are omitted in accordance with the classified-information rules, and items (3) and (5) are catch-all clauses guarding against evasion by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different names with the same essence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12 to 17, Article 13-2, Article 13-4, Article 33 【The First Principle of Personal Values; the Principle of Maximum Self-Determination】, Annex A.07.001 【The Code of Ethics and Etiquette】.</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45"/>
    <w:bookmarkStart w:id="46" w:name="article-13-4-prohibited-conduct-3"/>
    <w:p>
      <w:pPr>
        <w:pStyle w:val="Heading3"/>
        <w:spacing w:after="120" w:line="312" w:lineRule="auto"/>
        <w:jc w:val="left"/>
      </w:pPr>
      <w:r>
        <w:rPr>
          <w:rFonts w:ascii="DejaVu Serif" w:hAnsi="DejaVu Serif" w:eastAsia="Noto Serif CJK SC"/>
          <w:color w:val="000000"/>
          <w:sz w:val="26"/>
        </w:rPr>
        <w:t xml:space="preserve">Article 13-4 【Prohibited Conduct (3)】</w:t>
      </w:r>
    </w:p>
    <w:p>
      <w:pPr>
        <w:pStyle w:val="FirstParagraph"/>
        <w:spacing w:after="120" w:line="312" w:lineRule="auto"/>
      </w:pPr>
      <w:r>
        <w:rPr>
          <w:rFonts w:ascii="DejaVu Serif" w:hAnsi="DejaVu Serif" w:eastAsia="Noto Serif CJK SC"/>
          <w:color w:val="000000"/>
          <w:sz w:val="22"/>
        </w:rPr>
        <w:t xml:space="preserve">In areas under the jurisdiction of the criminal law and other laws of the People’s Republic of China, the Author shall not engage in any of the following conduct: (1) [omitted for legal and regulatory compliance requirements]</w:t>
      </w:r>
      <w:r>
        <w:rPr>
          <w:rFonts w:ascii="DejaVu Serif" w:hAnsi="DejaVu Serif" w:eastAsia="Noto Serif CJK SC"/>
          <w:b/>
          <w:bCs/>
          <w:i/>
          <w:iCs/>
          <w:color w:val="000000"/>
          <w:sz w:val="22"/>
        </w:rPr>
        <w:t xml:space="preserve">; (2) [omitted for legal and regulatory compliance requirements]</w:t>
      </w:r>
      <w:r>
        <w:rPr>
          <w:rFonts w:ascii="DejaVu Serif" w:hAnsi="DejaVu Serif" w:eastAsia="Noto Serif CJK SC"/>
          <w:color w:val="000000"/>
          <w:sz w:val="22"/>
        </w:rPr>
        <w:t xml:space="preserve">; (3) activities of a similar nature not listed above **#This provision was added under Corrective Act (2), clarifying the specific prohibited conduct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areas under the jurisdiction of the laws of the People’s Republic of China</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adapting to territorial legal constraints; among them, items 1 and 2, being sensitive, are marked as classified in accordance with the rules#*.</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areas under the jurisdiction of the criminal law and other laws of the People’s Republic of China, the Author shall not engage in any of the following conduct: (1) [omitted]; (2) [omitted]; (3) activities of a similar nature not listed above.</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Corrective Act (2).)</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a</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territorial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prohibition — with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areas under the jurisdiction of the criminal law and other laws of the People’s Republic of China</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spatial scope, the prohibitions listed apply absolutely within this legal domain. Its legislative purpose lies in strictly observing the mandatory provisions of the legal domain in which one is, carried on with Articles 98 and 125.</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difference between this article and the preceding one (Article 13-3, not to be committed except where life is endangered) is that this article is 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territorial prohibition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within the Chinese legal domain, under no circumstances may it be committed; the preceding article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relative prohibition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with conditional exceptions. The two are superimposed to form the fourfold prohibition net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 relative — territorial — extraterritorial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13-3, Article 13-5, Article 61, Article 125.</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46"/>
    <w:bookmarkStart w:id="47" w:name="X085c473324cf1509bc39d67176d226bd3019d80"/>
    <w:p>
      <w:pPr>
        <w:pStyle w:val="Heading3"/>
        <w:spacing w:after="120" w:line="312" w:lineRule="auto"/>
        <w:jc w:val="left"/>
      </w:pPr>
      <w:r>
        <w:rPr>
          <w:rFonts w:ascii="DejaVu Serif" w:hAnsi="DejaVu Serif" w:eastAsia="Noto Serif CJK SC"/>
          <w:color w:val="000000"/>
          <w:sz w:val="26"/>
        </w:rPr>
        <w:t xml:space="preserve">Article 13-4(b) 【Supplement to the Scope of Application of Article 13-4】</w:t>
      </w:r>
    </w:p>
    <w:p>
      <w:pPr>
        <w:pStyle w:val="FirstParagraph"/>
        <w:spacing w:after="120" w:line="312" w:lineRule="auto"/>
      </w:pPr>
      <w:r>
        <w:rPr>
          <w:rFonts w:ascii="DejaVu Serif" w:hAnsi="DejaVu Serif" w:eastAsia="Noto Serif CJK SC"/>
          <w:color w:val="000000"/>
          <w:sz w:val="22"/>
        </w:rPr>
        <w:t xml:space="preserve">This article applies, and applies only, where the Author’s country of nationality is no longer the People’s Republic of China (completion of a prior change of nationality in accordance with law) and the criminal law and even the laws of the new country of nationality do not expressly prohibit the matter</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&lt; italic &gt; This provision was added under Article 6 of the First Amendment, clarifying the territorial boundary of application of Article 13-4, adapting to the adjustment of legal application after a change of nationality and avoiding legal conflicts#</w:t>
      </w:r>
      <w:r>
        <w:rPr>
          <w:rFonts w:ascii="DejaVu Serif" w:hAnsi="DejaVu Serif" w:eastAsia="Noto Serif CJK SC"/>
          <w:color w:val="000000"/>
          <w:sz w:val="22"/>
        </w:rPr>
        <w:t xml:space="preserve">.</w:t>
      </w:r>
    </w:p>
    <w:p>
      <w:pPr>
        <w:spacing w:after="120" w:line="312" w:lineRule="auto"/>
      </w:pPr>
      <w:r>
        <w:rPr>
          <w:rFonts w:ascii="DejaVu Serif" w:hAnsi="DejaVu Serif" w:eastAsia="Noto Serif CJK SC"/>
          <w:color w:val="000000"/>
          <w:sz w:val="22"/>
        </w:rPr>
        <w:pict>
          <v:rect style="width:0;height:1.5pt" o:hralign="center" o:hrstd="t" o:hr="t"/>
        </w:pict>
      </w:r>
    </w:p>
    <w:bookmarkEnd w:id="47"/>
    <w:bookmarkStart w:id="48" w:name="article-13-5-prohibited-conduct-4"/>
    <w:p>
      <w:pPr>
        <w:pStyle w:val="Heading3"/>
        <w:spacing w:after="120" w:line="312" w:lineRule="auto"/>
        <w:jc w:val="left"/>
      </w:pPr>
      <w:r>
        <w:rPr>
          <w:rFonts w:ascii="DejaVu Serif" w:hAnsi="DejaVu Serif" w:eastAsia="Noto Serif CJK SC"/>
          <w:color w:val="000000"/>
          <w:sz w:val="26"/>
        </w:rPr>
        <w:t xml:space="preserve">Article 13-5 【Prohibited Conduct (4)】</w:t>
      </w:r>
    </w:p>
    <w:p>
      <w:pPr>
        <w:pStyle w:val="FirstParagraph"/>
        <w:spacing w:after="120" w:line="312" w:lineRule="auto"/>
      </w:pPr>
      <w:r>
        <w:rPr>
          <w:rFonts w:ascii="DejaVu Serif" w:hAnsi="DejaVu Serif" w:eastAsia="Noto Serif CJK SC"/>
          <w:color w:val="000000"/>
          <w:sz w:val="22"/>
        </w:rPr>
        <w:t xml:space="preserve">In areas not under the jurisdiction of the criminal law and other laws of the People’s Republic of China, and without the express consent of a female counterpart and a guarantee of her safety of life, bodily health and full voluntariness, the Author shall not engage in the following conduct: (1) [omitted for legal and regulatory compliance requirements]</w:t>
      </w:r>
      <w:r>
        <w:rPr>
          <w:rFonts w:ascii="DejaVu Serif" w:hAnsi="DejaVu Serif" w:eastAsia="Noto Serif CJK SC"/>
          <w:b/>
          <w:bCs/>
          <w:i/>
          <w:iCs/>
          <w:color w:val="000000"/>
          <w:sz w:val="22"/>
        </w:rPr>
        <w:t xml:space="preserve">; (2) [omitted for legal and regulatory compliance requirements]</w:t>
      </w:r>
      <w:r>
        <w:rPr>
          <w:rFonts w:ascii="DejaVu Serif" w:hAnsi="DejaVu Serif" w:eastAsia="Noto Serif CJK SC"/>
          <w:color w:val="000000"/>
          <w:sz w:val="22"/>
        </w:rPr>
        <w:t xml:space="preserve">; (3) activities of the same nature not listed above **#This provision was added under Corrective Act (2), clarifying the specific prohibited conduct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areas not under the jurisdiction of Chinese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strengthening the protection of the rights of the female counterpart; among them, items 1 and 2, being sensitive, are marked as classified in accordance with the rules#*.</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areas not under the jurisdiction of the criminal law and other laws of the People’s Republic of China, and without the express consent of a female counterpart and a guarantee of her safety of life, bodily health and full voluntariness, the Author shall not engage in the following conduct: (1) [omitted]; (2) [omitted]; (3) activities of the same nature not listed above.</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Corrective Act (2).)</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an</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extraterritorial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prohibition, and places particular emphasis on the protection of the female counterpart — in whatever legal domain, whenever a female counterpart is involved, it must be limited by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express consent, safety of life, bodily health and full voluntariness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failing which it is categorically not to be committed. This article manifests this Charter’s supreme regard for women’s rights and interests, and is interlinked with Annex A.07.001, the Code of Ethics and Etiquette, and Article 99 【The Principle of Treating Others with an Equal Attitude】.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areas not under the Chinese legal domain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spatial scope and the full voluntariness of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female counterpart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substantive condition, a double requirement. Wherever there is 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absence of express consent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jeopardy to her safety of life, bodily health or full voluntariness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however the form may appear, it falls within the prohibition. Article 13-6 further dynamically adjusts the female age standard according to nationality, place of conduct, place of result and the counterpart’s nationality, so as to ensure lawfulness and compliance.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13-2 to 13-4, Article 13-6, Article 99 【Treating Others with an Equal Attitude】, Annex A.07.001 【The Code of Ethics and Etiquette】, the relevant norms for the protection of gender equality.</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48"/>
    <w:bookmarkStart w:id="49" w:name="Xd2c697d0f5d81799869a221b0bd53345f27fce1"/>
    <w:p>
      <w:pPr>
        <w:pStyle w:val="Heading3"/>
        <w:spacing w:after="120" w:line="312" w:lineRule="auto"/>
        <w:jc w:val="left"/>
      </w:pPr>
      <w:r>
        <w:rPr>
          <w:rFonts w:ascii="DejaVu Serif" w:hAnsi="DejaVu Serif" w:eastAsia="Noto Serif CJK SC"/>
          <w:color w:val="000000"/>
          <w:sz w:val="26"/>
        </w:rPr>
        <w:t xml:space="preserve">Article 13-6 【Adjustment of the Female Age Standard in Accordance with Law】</w:t>
      </w:r>
    </w:p>
    <w:p>
      <w:pPr>
        <w:pStyle w:val="FirstParagraph"/>
        <w:spacing w:after="120" w:line="312" w:lineRule="auto"/>
      </w:pPr>
      <w:r>
        <w:rPr>
          <w:rFonts w:ascii="DejaVu Serif" w:hAnsi="DejaVu Serif" w:eastAsia="Noto Serif CJK SC"/>
          <w:color w:val="000000"/>
          <w:sz w:val="22"/>
        </w:rPr>
        <w:t xml:space="preserve">Notwithstanding the stipulations and declarations of the preceding paragraphs, where one or more of (a) the Author’s country of legal nationality; (b) the place where the conduct occurs; (c) the country of residence where the result occurs; or (d) the counterpart’s country of nationality is the People’s Republic of China, the female age in Article 13-5 shall be not less than fourteen years of age; where the aforesaid (a)–(d) are other countries whose criminal law (code/statute) or the like provides a higher age limit, it shall be adjusted in accordance with their provisions; provided that this does not apply where the Author can no longer satisfy the aforesaid (a) being the People’s Republic of China, and the criminal law (code/statute) or the like of the new country of nationality provides a lower age limit and there does not exist (b)–(d) a country whose criminal law (code/statute) or the like provides a higher age limit. Notwithstanding the foregoing, if the female party is under 12 years of age and any resistance, discomfort or the like occurs, including but not limited to the foregoing circumstances or possible other harm, it shall be stopped unconditionally, and what has not begun shall not begin</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&lt; italic &gt; This provision was added under Article 5 of the First Amendment, clarifying the rules for the legal adaptation of the female age standard and dynamically adjusting it in the light of factors such as nationality and place of conduct, so as to avoid compliance risks arising from territorial/nationality differences#</w:t>
      </w:r>
      <w:r>
        <w:rPr>
          <w:rFonts w:ascii="DejaVu Serif" w:hAnsi="DejaVu Serif" w:eastAsia="Noto Serif CJK SC"/>
          <w:color w:val="000000"/>
          <w:sz w:val="22"/>
        </w:rPr>
        <w:t xml:space="preserve">.</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Notwithstanding the stipulations and declarations of the preceding paragraphs, where one or more of (a) the Author’s country of legal nationality / (b) the place where the conduct occurs / (c) the country of residence where the result occurs / (d) the counterpart’s country of nationality is the People’s Republic of China, the female age in Article 13-5 shall be not less than fourteen years of age; where the aforesaid (a)–(d) are other countries whose criminal law (code/statute) or the like provides a higher age limit, it shall be adjusted in accordance with their provisions; provided that this does not apply where the Author can no longer satisfy the aforesaid (a) being the People’s Republic of China, and the criminal law of the new country of nationality provides a lower age limit and there does not exist (b)–(d) a country providing a higher age limit. Notwithstanding the foregoing, if the female party is under 12 years of age and any resistance, discomfort or the like occurs, it shall be stopped unconditionally, and what has not begun shall not begin.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rule for adapting the age standard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13-5, using the legislative technique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connecting points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(country of legal nationality, place of conduct, place of result, counterpart’s nationality) to determine dynamically the age standard that should apply, seeking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take the higher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take the newer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take the stricter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legislative purpose lies in keeping the Author’s conduct always in conformity with the criminal mandatory provisions of the relevant legal domain.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adopts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choosing the stricter connecting point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if any one of (a)–(d) is China, the standard of fourteen years of age applies; if a foreign country has a higher standard, the higher standard is followed. The final paragraph sets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lower limit of twelve years of 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 rule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unconditional stopping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which is the absolute baseline of the Author’s protection of minors. This article is the setting of a risk boundary (to prevent violation of the criminal law), on the same principle as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limitation, not authorization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Articles 12 and 127.</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was adjusted under Article 6 of the First Amendment, clarifying the rules for the legal adaptation of the female age standard; Article 13-4(b) additionally sets a supplement to the scope of application.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13-5, Article 12, Article 125, Corrective Act (2), the First Amendment.</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49"/>
    <w:bookmarkStart w:id="50" w:name="X1e7dd81c3f46abef35573c9d0a2ae5f6c1ef8ea"/>
    <w:p>
      <w:pPr>
        <w:pStyle w:val="Heading3"/>
        <w:spacing w:after="120" w:line="312" w:lineRule="auto"/>
        <w:jc w:val="left"/>
      </w:pPr>
      <w:r>
        <w:rPr>
          <w:rFonts w:ascii="DejaVu Serif" w:hAnsi="DejaVu Serif" w:eastAsia="Noto Serif CJK SC"/>
          <w:color w:val="000000"/>
          <w:sz w:val="26"/>
        </w:rPr>
        <w:t xml:space="preserve">Article 14 【The Status of the Declaration of the Absolute Baseline of Life】</w:t>
      </w:r>
    </w:p>
    <w:p>
      <w:pPr>
        <w:pStyle w:val="FirstParagraph"/>
        <w:spacing w:after="120" w:line="312" w:lineRule="auto"/>
      </w:pPr>
      <w:r>
        <w:rPr>
          <w:rFonts w:ascii="DejaVu Serif" w:hAnsi="DejaVu Serif" w:eastAsia="Noto Serif CJK SC"/>
          <w:color w:val="000000"/>
          <w:sz w:val="22"/>
        </w:rPr>
        <w:t xml:space="preserve">The declaration of the absolute baseline of life is the absolutely lowest baseline acceptable in the Author’s life; it is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special and extraordinary means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its status ought to be a transitional and temporary means; this compliance-first choice should not be taken as a long-term strategy or guideline of action.</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declaration of the absolute baseline of life is the absolutely lowest baseline acceptable in the Author’s life; it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special and extraordinary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its status ought to be a transitional and temporary means; this compliance-first choice should not be taken as a long-term strategy or guideline of action.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determines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status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declared in Article 13: it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special and extraordinary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transitional and temporary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may not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 taken as a long-term strategy or guideline of action. This article fits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braking device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onto the foregoing baseline provisions — the baseline is not the basis for ordinary conduct, but the last resort under extreme circumstances.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Compliance-first-ism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expedient by which the Author, in dealing with extreme situations,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formal compliance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minimum requirement. This article solemnly declares that this expedient is only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transitional and temporary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that one must return as soon as possible to the normal, lawful and compliant path. Together with Article 8-3 【Red Lines for Venture Capital】 and Article 61 【Negative List】, it is a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restraint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preventing the baseline from becoming the norm.</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13, Article 15, Article 29, Article 61, Article 79.</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50"/>
    <w:bookmarkStart w:id="51" w:name="X59957b00ab0aa7ce2f25688b65a822b9d84566f"/>
    <w:p>
      <w:pPr>
        <w:pStyle w:val="Heading3"/>
        <w:spacing w:after="120" w:line="312" w:lineRule="auto"/>
        <w:jc w:val="left"/>
      </w:pPr>
      <w:r>
        <w:rPr>
          <w:rFonts w:ascii="DejaVu Serif" w:hAnsi="DejaVu Serif" w:eastAsia="Noto Serif CJK SC"/>
          <w:color w:val="000000"/>
          <w:sz w:val="26"/>
        </w:rPr>
        <w:t xml:space="preserve">Article 15 【Application of the Declaration of the Absolute Baseline of Life】</w:t>
      </w:r>
    </w:p>
    <w:p>
      <w:pPr>
        <w:pStyle w:val="FirstParagraph"/>
        <w:spacing w:after="120" w:line="312" w:lineRule="auto"/>
      </w:pPr>
      <w:r>
        <w:rPr>
          <w:rFonts w:ascii="DejaVu Serif" w:hAnsi="DejaVu Serif" w:eastAsia="Noto Serif CJK SC"/>
          <w:color w:val="000000"/>
          <w:sz w:val="22"/>
        </w:rPr>
        <w:t xml:space="preserve">When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absolute baseline of life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applied, its ROI should be comprehensively weighed, with full consideration of its long-term impact on the Author himself, on the core-team personnel and on the Author’s core assets, as well as the greatest possible degree of adverse public response and the scope of impact it may cause, and it should be used only after review through strict procedures; in principle, it should be applied only after at least a compliance-and-legality review (especially a criminal-compliance review); where necessary, consideration should be given to adding a stage of ethical review before application; and in principle, after a corporate legal-person entity has been established, the legal representative (legal representative) of the legal-person entity shall bear the above-mentioned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consequential responsibility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place of the company and the Author.</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baseline of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applied, its ROI should be comprehensively weighed, with full consideration of its long-term impact on the Author himself, on the core-team personnel and on the Author’s core assets, as well as the greatest possible degree of adverse public response and the scope of impact it may cause, and it should be used only after review through strict procedures; in principle, it should be applied only after at least a compliance-and-legality review (especially a criminal-compliance review); where necessary, consideration should be given to adding a stage of ethical review before application; and in principle, after a corporate legal-person entity has been established, the legal representative (legal representative) of the legal-person entity shall bear the above-mentioned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consequential responsibility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place of the company and the Author.</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procedure of application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absolute baseline, providing that before application there must be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threefold weighing and twofold review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weighing the ROI, the long-term impact on the Author, the team and the assets, and the adverse public response; and a compliance-and-legality review (with special weight given to criminal compliance) and, where necessary, an ethical review. And after a legal-person entity has been established, in principle the legal representative bears the consequences in its stead.</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restricts the application of the baseline by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procedural constraint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preventing its abuse, and together with Article 14 (restriction of status) forms a double restraint.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legal representative bears the consequences in its stead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shows that the Author uses the legal-person system as a tool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responsibility isolation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consistent with the legal theory of modern company law and referential with Article 21 【The Final Goal, including the corporate legal-person system】.</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 Article 14, Article 9 【Implementation and Supervision Mechanism】, Article 21 【The Final Goal】, Article 20 【Core-Asset Creation】.</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51"/>
    <w:bookmarkStart w:id="52" w:name="X3fdfd1a506a7117d2de02deeac9884ddca1e767"/>
    <w:p>
      <w:pPr>
        <w:pStyle w:val="Heading3"/>
        <w:spacing w:after="120" w:line="312" w:lineRule="auto"/>
        <w:jc w:val="left"/>
      </w:pPr>
      <w:r>
        <w:rPr>
          <w:rFonts w:ascii="DejaVu Serif" w:hAnsi="DejaVu Serif" w:eastAsia="Noto Serif CJK SC"/>
          <w:color w:val="000000"/>
          <w:sz w:val="26"/>
        </w:rPr>
        <w:t xml:space="preserve">Article 16 【Declaration of the Relative Baseline of Life】</w:t>
      </w:r>
    </w:p>
    <w:p>
      <w:pPr>
        <w:pStyle w:val="FirstParagraph"/>
        <w:spacing w:after="120" w:line="312" w:lineRule="auto"/>
      </w:pPr>
      <w:r>
        <w:rPr>
          <w:rFonts w:ascii="DejaVu Serif" w:hAnsi="DejaVu Serif" w:eastAsia="Noto Serif CJK SC"/>
          <w:color w:val="000000"/>
          <w:sz w:val="22"/>
        </w:rPr>
        <w:t xml:space="preserve">The Author’s relative baseline is as follows: (1) under ordinary circumstances, in principle it suffices that the Author’s conduct remain above the degree set out in Appendix One of this Charter (criminal conduct under the criminal law); (2) under relatively special conditions (referring to items 4–15 of Article 91 of this Charter), not violating the criminal law providing for fixed-term imprisonment or more and the relevant laws and regulations applicable at the time the conduct occurs, and in principle ensuring that the Author himself is not subject to imprisonment or to the punishment of fixed-term or life imprisonment 【because the Author regards freedom of thought, freedom of action, personal liberty, freedom of time, freedom of attention and the right of autonomous decision as the Author’s supreme rights apart from the right to life, the right to subsistence, the right to health and the right to maintain bodily integrity】; (3) under extremely special circumstances and conditions (referring to items 1–3 of Article 91 of this Charter), the liberty-restricting punishment suffered should follow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the relative supremacy of five years for a single crime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the absolute supremacy of seven years for a single crime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relative baseline is as follows: (1) under ordinary circumstances, in principle it suffices that the Author’s conduct remain above the degree set out in Appendix One of this Charter (criminal conduct under the criminal law); (2) under relatively special conditions, not violating the criminal law providing for fixed-term imprisonment or more and the relevant laws and regulations applicable at the time the conduct occurs, and in principle ensuring that the Author himself is not subject to imprisonment or to the punishment of fixed-term or life imprisonment; (3) under extremely special conditions, the liberty-restricting punishment suffered should follow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the relative supremacy of five years for a single crime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the absolute supremacy of seven years for a single crime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The preceding articles establish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relative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namely the baseline of ordinary conduct manifested to the public in dealings with others. It descends in three tiers: under ordinary circumstances remaining above the crime line; under relatively special circumstances not being subject to imprisonment; under extremely special circumstances observing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five years – seven years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limit. Together with Article 17 (the status of the relative baseline), this article forms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relative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system.</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uses the three tiers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ordinary – relatively special – extremely special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correspond to the baseline standards under different situations, consistent with the spirit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items (12) and (13) of Article 2 and of Article 16. The two phrases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relative supremacy of five years for a single crime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absolute supremacy of seven years for a single crime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set the psychological threshold of the liberty-restricting punishment for the Author’s life, in order that the criminal liability of his conduct not exceed this limit.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12 to 15, Article 17, Article 49, Article 79, Annex H.01.001.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52"/>
    <w:bookmarkStart w:id="54" w:name="X60c4ff92c3dda30bdee38913daabe4097a1381e"/>
    <w:p>
      <w:pPr>
        <w:pStyle w:val="Heading3"/>
        <w:spacing w:after="120" w:line="312" w:lineRule="auto"/>
        <w:jc w:val="left"/>
      </w:pPr>
      <w:r>
        <w:rPr>
          <w:rFonts w:ascii="DejaVu Serif" w:hAnsi="DejaVu Serif" w:eastAsia="Noto Serif CJK SC"/>
          <w:color w:val="000000"/>
          <w:sz w:val="26"/>
        </w:rPr>
        <w:t xml:space="preserve">Article 17 【The Status of the Declaration of the Relative Baseline of Life】</w:t>
      </w:r>
    </w:p>
    <w:p>
      <w:pPr>
        <w:pStyle w:val="FirstParagraph"/>
        <w:spacing w:after="120" w:line="312" w:lineRule="auto"/>
      </w:pPr>
      <w:r>
        <w:rPr>
          <w:rFonts w:ascii="DejaVu Serif" w:hAnsi="DejaVu Serif" w:eastAsia="Noto Serif CJK SC"/>
          <w:color w:val="000000"/>
          <w:sz w:val="22"/>
        </w:rPr>
        <w:t xml:space="preserve">The relative baseline of life, also called the Author’s general baseline of life, is the baseline of ordinary life conduct manifested to the public (a large unspecified group) in dealings with others (the public legal-cognition baseline and moral baseline). (Note: ⁴ specifically it refers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public-occasion situation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which one must face more than 5 persons (including 5, but not including the Author himself) who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 different circle from the Author and who are of key significance or potential threat to him; where sensitive criminal-law provisions are involved, it refers in principle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public-occasion situation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which one must face more than 3 persons (including 3, but not including the Author himself) who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 different circle from the Author and who are of key significance or potential threat to him.)</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relative baseline of life, also called the Author’s general baseline of life, is the baseline of ordinary life conduct manifested to the public (a large unspecified group) in dealings with others (the public legal-cognition baseline and moral baseline).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determines the status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relative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it is the general baseline manifested to the public, namely the legal and moral baseline that the public may expect. Unlike the absolute baseline (self-imposed and internal), the relative baseline is a baseline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visible externally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public</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reference in defining the applicable scenario of the relative baseline (more than five persons; and more than three persons where sensitive criminal-law provisions are involved, being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specific 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 different circle present in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public-occasion situation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This definition shows the wisdom of the Author’s life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governance by scenario</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toward the public one observes the general baseline, toward oneself one observes the absolute baseline, adapting to the occasion.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16, Article 12, Article 47 【Coordination of Ideal-Type Stereotypes】, Article 99 【Treating Others with an Equal Attitude】.</w:t>
            </w:r>
          </w:p>
        </w:tc>
      </w:tr>
      <w:tr>
        <w:tc>
          <w:tcPr/>
          <w:p>
            <w:pPr>
              <w:pStyle w:val="Compact"/>
              <w:spacing w:after="40" w:line="288" w:lineRule="auto"/>
            </w:pPr>
          </w:p>
        </w:tc>
      </w:tr>
      <w:tr>
        <w:tc>
          <w:tcPr/>
          <w:p>
            <w:pPr>
              <w:pStyle w:val="Heading2"/>
              <w:spacing w:after="40" w:line="288" w:lineRule="auto"/>
              <w:jc w:val="left"/>
            </w:pPr>
            <w:bookmarkStart w:id="53" w:name="Xf0816600315cf720e035eec83e953eccf8039ab"/>
            <w:r>
              <w:rPr>
                <w:rFonts w:ascii="DejaVu Serif" w:hAnsi="DejaVu Serif" w:eastAsia="Noto Sans CJK SC"/>
                <w:color w:val="000000"/>
                <w:sz w:val="19"/>
              </w:rPr>
              <w:t xml:space="preserve">Volume Four — The Chapter on Survival and Core Assets</w:t>
            </w:r>
            <w:bookmarkEnd w:id="53"/>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54"/>
    <w:bookmarkStart w:id="55" w:name="Xb5305d9ac985e15f58c7d8213ffa1ecabb2cee8"/>
    <w:p>
      <w:pPr>
        <w:pStyle w:val="Heading3"/>
        <w:spacing w:after="120" w:line="312" w:lineRule="auto"/>
        <w:jc w:val="left"/>
      </w:pPr>
      <w:r>
        <w:rPr>
          <w:rFonts w:ascii="DejaVu Serif" w:hAnsi="DejaVu Serif" w:eastAsia="Noto Serif CJK SC"/>
          <w:color w:val="000000"/>
          <w:sz w:val="26"/>
        </w:rPr>
        <w:t xml:space="preserve">Article 18 【Acquisition of Cash Flow up to the Short-Term Baseline of Funds Necessary for Survival】</w:t>
      </w:r>
    </w:p>
    <w:p>
      <w:pPr>
        <w:pStyle w:val="FirstParagraph"/>
        <w:spacing w:after="120" w:line="312" w:lineRule="auto"/>
      </w:pPr>
      <w:r>
        <w:rPr>
          <w:rFonts w:ascii="DejaVu Serif" w:hAnsi="DejaVu Serif" w:eastAsia="Noto Serif CJK SC"/>
          <w:color w:val="000000"/>
          <w:sz w:val="22"/>
        </w:rPr>
        <w:t xml:space="preserve">In order to ensure the independence of personal decision-making, thought and action, as well as the Author’s survival, safety of life and fundamental food and lodging, it should be ensured that the average daily cash flow is greater than or equal to USD 45 (CNY 300, CHF 45, EUR 45, NZD 73), and this average may not be lower than USD 45, while the upper limit is never restricted; and the warning line should be set at USD 50 (CNY 335, CHF 48, EUR 80, NZD 80).</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order to ensure the independence of personal decision-making, thought and action, as well as the Author’s survival, safety of life and fundamental food and lodging, it should be ensured that the average daily cash flow is greater than or equal to USD 45 (CNY 300, CHF 45, EUR 45, NZD 73), and this average may not be lower than USD 45, while the upper limit is never restricted; and the warning line should be set at USD 50 (CNY 335, CHF 48, EUR 80, NZD 80).</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survival cash-flow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daily cash flow is not lower than USD 45, the warning line is USD 50, and no upper limit is set. Its legislative purpose lies in safeguarding the Author’s survival and independence of decision by quantified cash flow; it is the starting point of this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financial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Cash flow is the material foundation of freedom (carried on with Articles 20 and 21).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upper limit is never restricted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shows that this article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floor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rather than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ceiling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encouraging unlimited enterprise; the setting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warning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shows risk awareness. This article is realized through the cash flow of operations and investment (Article 57). Note: the figures of this article were adjusted by Annex E.01.001 (the Amendment Modifying Articles 18 and 19); see the 【Appended Note】 of that document for details.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19, Article 20, Article 21, Article 57 【Sources of Cash Flow】, Annex E.01.001.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55"/>
    <w:bookmarkStart w:id="56" w:name="X1680f97c1d012b8537071351dabef56d39ff3ed"/>
    <w:p>
      <w:pPr>
        <w:pStyle w:val="Heading3"/>
        <w:spacing w:after="120" w:line="312" w:lineRule="auto"/>
        <w:jc w:val="left"/>
      </w:pPr>
      <w:r>
        <w:rPr>
          <w:rFonts w:ascii="DejaVu Serif" w:hAnsi="DejaVu Serif" w:eastAsia="Noto Serif CJK SC"/>
          <w:color w:val="000000"/>
          <w:sz w:val="26"/>
        </w:rPr>
        <w:t xml:space="preserve">Article 19 【The Cash Amount of the Short-Term Baseline of Funds Necessary for Survival】</w:t>
      </w:r>
    </w:p>
    <w:p>
      <w:pPr>
        <w:pStyle w:val="FirstParagraph"/>
        <w:spacing w:after="120" w:line="312" w:lineRule="auto"/>
      </w:pPr>
      <w:r>
        <w:rPr>
          <w:rFonts w:ascii="DejaVu Serif" w:hAnsi="DejaVu Serif" w:eastAsia="Noto Serif CJK SC"/>
          <w:color w:val="000000"/>
          <w:sz w:val="22"/>
        </w:rPr>
        <w:t xml:space="preserve">In order to ensure the independence of personal decision-making, thought and action, as well as the Author’s survival, safety of life and fundamental food and lodging, it should be ensured that after starting a business the Author holds on hand a cash reserve of not less than RMB 300,000 or an equivalent or greater amount in foreign currency.</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order to ensure the independence of personal decision-making, thought and action, as well as the Author’s survival, safety of life and fundamental food and lodging, it should be ensured that after starting a business the Author holds on hand a cash reserve of not less than RMB 300,000 or an equivalent or greater amount in foreign currency.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cash-reserve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after starting a business, the cash reserve on hand is not less than RMB 300,000 (or an equivalent or greater amount in foreign currency). It is complementary to Article 18 (daily cash flow): one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flow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 other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stock</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together forming the twin pillars of survival security.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reserve fund is established to cope with the unforeseen and to safeguard freedom. The figures of this article were also adjusted by Annex E.01.001 (which organizes them into a cash-reserve range); see the 【Appended Note】 of that document for details. The financial safety of the Author’s life proceeds in four ascending layers: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flow (Article 18) + stock (Article 19) + core assets (Article 20) + passive income (Article 21)</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18, Article 20, Article 21, Annex E.01.001.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56"/>
    <w:bookmarkStart w:id="57" w:name="X042eca5ec125b77089a84fabbd00113c535a900"/>
    <w:p>
      <w:pPr>
        <w:pStyle w:val="Heading3"/>
        <w:spacing w:after="120" w:line="312" w:lineRule="auto"/>
        <w:jc w:val="left"/>
      </w:pPr>
      <w:r>
        <w:rPr>
          <w:rFonts w:ascii="DejaVu Serif" w:hAnsi="DejaVu Serif" w:eastAsia="Noto Serif CJK SC"/>
          <w:color w:val="000000"/>
          <w:sz w:val="26"/>
        </w:rPr>
        <w:t xml:space="preserve">Article 20 【The Ultimate Fundamental Purpose of Core-Asset Creation】</w:t>
      </w:r>
    </w:p>
    <w:p>
      <w:pPr>
        <w:pStyle w:val="FirstParagraph"/>
        <w:spacing w:after="120" w:line="312" w:lineRule="auto"/>
      </w:pPr>
      <w:r>
        <w:rPr>
          <w:rFonts w:ascii="DejaVu Serif" w:hAnsi="DejaVu Serif" w:eastAsia="Noto Serif CJK SC"/>
          <w:color w:val="000000"/>
          <w:sz w:val="22"/>
        </w:rPr>
        <w:t xml:space="preserve">The ultimate fundamental purpose of core-asset creation is to enable the asset manager himself, by purchasing others’ time, energy, attention and other resources, to attain his own right to life, right to subsistence, right to health, right to maintain bodily integrity, freedom of thought, freedom of action, personal liberty, freedom of time, freedom of attention, as well as the right of autonomous decision, the right to strategic self-determination, and the autonomy to define the key concepts of his outlook on life and worldview; and the ultimate realization of the ideal state of the Author’s own life perspective, vision, life dream</w:t>
      </w:r>
    </w:p>
    <w:p>
      <w:pPr>
        <w:pStyle w:val="BodyText"/>
        <w:spacing w:after="120" w:line="312" w:lineRule="auto"/>
      </w:pPr>
      <w:r>
        <w:rPr>
          <w:rFonts w:ascii="DejaVu Serif" w:hAnsi="DejaVu Serif" w:eastAsia="Noto Serif CJK SC"/>
          <w:color w:val="000000"/>
          <w:sz w:val="22"/>
        </w:rPr>
        <w:t xml:space="preserve">, ideals, ultimate target identity, life mission, personal values and minimalist way of life.</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ultimate fundamental purpose of core-asset creation is to enable the asset manager himself, by purchasing others’ time, energy, attention and other resources, to attain his own right to life, right to subsistence, right to health, right to maintain bodily integrity, freedom of thought, freedom of action, personal liberty, freedom of time, freedom of attention, as well as the right of autonomous decision, the right to strategic self-determination, and the autonomy to define the key concepts of his outlook on life and worldview, and the ultimate realization of the ideal state of the Author’s own life perspective, vision, dream, ideals, ultimate target identity, mission, values and minimalist way of life.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reveals the ultimate purpose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core-asset creation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by purchasing others’ time, energy and attention, to obtain for oneself the greatest rights and freedom. This is the general logic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exchanging assets for freedom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core of this Charter’s financial philosophy.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Purchasing others’ time, energy and attention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means using the power of institutions, capital and organization to make others’ labor serve the Author’s goals, thereby liberating his own time and freedom — this is of the same mental method as Article 27 【Concentration on the Most Core Action】 and Article 71 【Positioning and Market-Making】. The object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various freedoms and the various rights of autonomy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conforming to the list of rights in Articles 3 and 4.</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 Article 4, Article 10 【Mission】, Article 21, Article 27, Article 31.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57"/>
    <w:bookmarkStart w:id="58" w:name="X0ee6a8f0b875597472d7d4172d3ed639afdf835"/>
    <w:p>
      <w:pPr>
        <w:pStyle w:val="Heading3"/>
        <w:spacing w:after="120" w:line="312" w:lineRule="auto"/>
        <w:jc w:val="left"/>
      </w:pPr>
      <w:r>
        <w:rPr>
          <w:rFonts w:ascii="DejaVu Serif" w:hAnsi="DejaVu Serif" w:eastAsia="Noto Serif CJK SC"/>
          <w:color w:val="000000"/>
          <w:sz w:val="26"/>
        </w:rPr>
        <w:t xml:space="preserve">Article 21 【The Final Goal of Life — Declaration of the Maximally Feasible Liberal Life Condition】</w:t>
      </w:r>
    </w:p>
    <w:p>
      <w:pPr>
        <w:pStyle w:val="FirstParagraph"/>
        <w:spacing w:after="120" w:line="312" w:lineRule="auto"/>
      </w:pPr>
      <w:r>
        <w:rPr>
          <w:rFonts w:ascii="DejaVu Serif" w:hAnsi="DejaVu Serif" w:eastAsia="Noto Serif CJK SC"/>
          <w:color w:val="000000"/>
          <w:sz w:val="22"/>
        </w:rPr>
        <w:t xml:space="preserve">The Author’s final goal of life — the maximally feasible liberal life condition — is, by virtue of usufructuary rights, residence rights, rights to use movable property, corporate operating rights, equity investment, private equity, external debt claims, marketable securities (including funds and bonds, etc.) and dividend rights (passive-income rights and interests), and within the whole cosmos (at least globally), over a lifetime, using ① the corporate legal-person system, ② the financial system, ③ the usufructuary-rights system, the contract system, the agency system and the like (systems) as the minimum feasible tools, through a global sojourning life, transnational operations, the founding of globalized and internationalized private funds, the founding of transnational and cross-cultural private asset-management companies, the founding of a private (Macao/Swiss) investment bank, global structural investment, international marriage and the formation of a transnational family, and an online, electronic and digital office of a minimum-feasible minimalist way of life and an online-predominant way of working, to obtain the identities of entrepreneur, financial investor, private fundraising fund (private fund) manager, writer, translator, cross-cultural activist and holder of multiple national PRs, and on this basis to continue striving, in order to achieve the following key ideal states of life.</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final goal of life — the maximally feasible liberal life condition — is, by virtue of usufructuary rights, residence rights, rights to use movable property, corporate operating rights, equity investment, private equity, external debt claims, marketable securities (including funds and bonds, etc.) and dividend rights (passive-income rights and interests), and within the whole cosmos (at least globally), over a lifetime, using ① the corporate legal-person system, ② the financial system, ③ the usufructuary-rights system, the contract system, the agency system and the like as the minimum feasible tools, through a global sojourning life, transnational operations, the founding of globalized and internationalized private funds, the founding of transnational and cross-cultural private asset-management companies, the founding of a private (Macao/Swiss) investment bank, global structural investment, international marriage and the formation of a transnational family, and an online, electronic and digital office of a minimum-feasible minimalist way of life and an online-predominant way of working, to obtain the identities of entrepreneur, financial investor, private fundraising fund …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 general declaration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final goal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whole text —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maximally feasible liberal life condition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structure is: with</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passive-income instruments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(usufructuary rights, equity, debt, marketable securities, dividend rights) as the reliance, and with</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three major systems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(company law, finance, and the property-contract-agency systems) as the instruments, attaining a</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picture of the free life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(sojourning, transnational operations, international marriage, digital office). This article is the final home of Articles 1-2, 8 and 20.</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Passive-income rights and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financial core of this article, carried on with Articles 10 and 57.</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Minimum-feasible 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criterion of the way of life, echoing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Within the whole cosmos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again echoes the ideal of the cosmic citizen of Article 7. This article, together with Article 22 【Global Sojourning】 and Article 23 【The Ideal State of Essentialism】, forms the complete description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8, Article 20, Article 22, Article 23, Article 31.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58"/>
    <w:bookmarkStart w:id="59" w:name="Xd0af6df364b915ee9b1b67332594c2839077c91"/>
    <w:p>
      <w:pPr>
        <w:pStyle w:val="Heading3"/>
        <w:spacing w:after="120" w:line="312" w:lineRule="auto"/>
        <w:jc w:val="left"/>
      </w:pPr>
      <w:r>
        <w:rPr>
          <w:rFonts w:ascii="DejaVu Serif" w:hAnsi="DejaVu Serif" w:eastAsia="Noto Serif CJK SC"/>
          <w:color w:val="000000"/>
          <w:sz w:val="26"/>
        </w:rPr>
        <w:t xml:space="preserve">Article 22 【The Life Condition of Global Sojourning】</w:t>
      </w:r>
    </w:p>
    <w:p>
      <w:pPr>
        <w:pStyle w:val="FirstParagraph"/>
        <w:spacing w:after="120" w:line="312" w:lineRule="auto"/>
      </w:pPr>
      <w:r>
        <w:rPr>
          <w:rFonts w:ascii="DejaVu Serif" w:hAnsi="DejaVu Serif" w:eastAsia="Noto Serif CJK SC"/>
          <w:color w:val="000000"/>
          <w:sz w:val="22"/>
        </w:rPr>
        <w:t xml:space="preserve">The Author’s life of global sojourning is realized concretely through the following specific ways, means and channels of accommodation and travel: (1) temporary stays in homestays worldwide; (2) temporary stays in youth hostels worldwide; (3) temporary stays in hotels of various star ratings worldwide; (4) lawful lodging in the homes of fellow sojourners worldwide; (5) entering into short- and medium-term lease contracts with other natural persons or legal-person organizations; (6) or agreeing with other natural persons or legal-person organizations to establish a usufructuary (real) right — the right of residence; (7) as well as leasing or purchasing an RV and engaging driving personnel; (8) engaging a private secretary or assistant with driving skills, or a proxy driver (designated driver); (9) seeking and engaging proxy driving personnel to provide labor services; (10) purchasing the services of the following means of transport, including but not limited to: 1) paragraph 1. first class on aircraft; 2) paragraph 2. business class on aircraft; 3) paragraph 3. economy class on aircraft;</w:t>
      </w:r>
    </w:p>
    <w:p>
      <w:pPr>
        <w:pStyle w:val="Compact"/>
        <w:numPr>
          <w:ilvl w:val="0"/>
          <w:numId w:val="1008"/>
        </w:numPr>
        <w:spacing w:after="120" w:line="312" w:lineRule="auto"/>
      </w:pPr>
      <w:r>
        <w:rPr>
          <w:rFonts w:ascii="DejaVu Serif" w:hAnsi="DejaVu Serif" w:eastAsia="Noto Serif CJK SC"/>
          <w:color w:val="000000"/>
          <w:sz w:val="22"/>
        </w:rPr>
        <w:t xml:space="preserve">paragraph 4. soft sleeper, hard sleeper, first-class or second-class seats on high-speed rail; 5) paragraph 5. soft sleeper, hard sleeper, first-class or second-class seats on the multiple-unit trains (Dongche); 6) paragraph 6. as well as soft sleeper and hard sleeper on through, express and fast trains; 7) paragraph 7. or ordinary train seats (hard seats, etc.); 8) paragraph 8. choosing to take trams, buses and the like.</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life of global sojourning is realized concretely through the following ways, means and channels of accommodation and travel: (1) temporary stays in homestays worldwide; (2) youth hostels; (3) hotels of various star ratings; (4) lawful lodging in the homes of fellow sojourners; (5) short- and medium-term leases with natural persons and legal-person organizations; (6) agreeing to establish a usufructuary (real) right — the right of residence; (7) leasing or purchasing an RV and engaging driving personnel; (8) engaging a private secretary, assistant or proxy driver with driving skills; (9) seeking and engaging proxy driving personnel to provide labor services; (10) purchasing services of means of transport such as first class and business class on aircraft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turns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global sojourning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from an ideal (Article 7) into an operable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list of ways of accommodation and travel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legislative purpose lies in making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sojourning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 sustainable life form rather than a momentary tour.</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various ways listed embody the life orientation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asset-light, high mobility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replacing purchase with rent, borrowing and usufructuary rights, precisely in conformity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asset-light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red line of Article 8-3 and the no-real-estate-purchase principle of Article 22 (see Annex A.04.001). Wherever the expression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engage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involved, it is expressly provided by the Charter’s terminology to be a relationship of cooperation and collaboration.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8, Annex A.04.001 【Detailed Rules on the Principles of Personal Lifestyle】, Article 31.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59"/>
    <w:bookmarkStart w:id="60" w:name="X5d13b6f52cb4e27e700e7aa94564ff919cd8d1e"/>
    <w:p>
      <w:pPr>
        <w:pStyle w:val="Heading3"/>
        <w:spacing w:after="120" w:line="312" w:lineRule="auto"/>
        <w:jc w:val="left"/>
      </w:pPr>
      <w:r>
        <w:rPr>
          <w:rFonts w:ascii="DejaVu Serif" w:hAnsi="DejaVu Serif" w:eastAsia="Noto Serif CJK SC"/>
          <w:color w:val="000000"/>
          <w:sz w:val="26"/>
        </w:rPr>
        <w:t xml:space="preserve">Article 22-2 【Supplement on the Residential Forms of Global Sojourning】</w:t>
      </w:r>
    </w:p>
    <w:p>
      <w:pPr>
        <w:pStyle w:val="FirstParagraph"/>
        <w:spacing w:after="120" w:line="312" w:lineRule="auto"/>
      </w:pPr>
      <w:r>
        <w:rPr>
          <w:rFonts w:ascii="DejaVu Serif" w:hAnsi="DejaVu Serif" w:eastAsia="Noto Serif CJK SC"/>
          <w:color w:val="000000"/>
          <w:sz w:val="22"/>
        </w:rPr>
        <w:t xml:space="preserve">〔This article was added by Corrective Act (4) of 25 September 2026; reviewed, countersigned and approved by the Author, and signed into effect.〕</w:t>
      </w:r>
    </w:p>
    <w:p>
      <w:pPr>
        <w:pStyle w:val="BodyText"/>
        <w:spacing w:after="120" w:line="312" w:lineRule="auto"/>
      </w:pPr>
      <w:r>
        <w:rPr>
          <w:rFonts w:ascii="DejaVu Serif" w:hAnsi="DejaVu Serif" w:eastAsia="Noto Serif CJK SC"/>
          <w:color w:val="000000"/>
          <w:sz w:val="22"/>
        </w:rPr>
        <w:t xml:space="preserve">Where any of the following circumstances exists, the Author’s life of global sojourning may be realized by adopting, in accordance with law, the following residential ways, forms and channels:</w:t>
      </w:r>
    </w:p>
    <w:p>
      <w:pPr>
        <w:numPr>
          <w:ilvl w:val="0"/>
          <w:numId w:val="1009"/>
        </w:numPr>
        <w:spacing w:after="120" w:line="312" w:lineRule="auto"/>
      </w:pPr>
      <w:r>
        <w:rPr>
          <w:rFonts w:ascii="DejaVu Serif" w:hAnsi="DejaVu Serif" w:eastAsia="Noto Serif CJK SC"/>
          <w:color w:val="000000"/>
          <w:sz w:val="22"/>
        </w:rPr>
        <w:t xml:space="preserve">those for the need of temporary, mobile and fluid residence;</w:t>
      </w:r>
    </w:p>
    <w:p>
      <w:pPr>
        <w:numPr>
          <w:ilvl w:val="0"/>
          <w:numId w:val="1009"/>
        </w:numPr>
        <w:spacing w:after="120" w:line="312" w:lineRule="auto"/>
      </w:pPr>
      <w:r>
        <w:rPr>
          <w:rFonts w:ascii="DejaVu Serif" w:hAnsi="DejaVu Serif" w:eastAsia="Noto Serif CJK SC"/>
          <w:color w:val="000000"/>
          <w:sz w:val="22"/>
        </w:rPr>
        <w:t xml:space="preserve">those for the need of emergency refuge in response to natural disasters, public-health incidents, emergencies and the like;</w:t>
      </w:r>
    </w:p>
    <w:p>
      <w:pPr>
        <w:numPr>
          <w:ilvl w:val="0"/>
          <w:numId w:val="1009"/>
        </w:numPr>
        <w:spacing w:after="120" w:line="312" w:lineRule="auto"/>
      </w:pPr>
      <w:r>
        <w:rPr>
          <w:rFonts w:ascii="DejaVu Serif" w:hAnsi="DejaVu Serif" w:eastAsia="Noto Serif CJK SC"/>
          <w:color w:val="000000"/>
          <w:sz w:val="22"/>
        </w:rPr>
        <w:t xml:space="preserve">those for the need of disaster resettlement and transitional dwelling;</w:t>
      </w:r>
    </w:p>
    <w:p>
      <w:pPr>
        <w:numPr>
          <w:ilvl w:val="0"/>
          <w:numId w:val="1009"/>
        </w:numPr>
        <w:spacing w:after="120" w:line="312" w:lineRule="auto"/>
      </w:pPr>
      <w:r>
        <w:rPr>
          <w:rFonts w:ascii="DejaVu Serif" w:hAnsi="DejaVu Serif" w:eastAsia="Noto Serif CJK SC"/>
          <w:color w:val="000000"/>
          <w:sz w:val="22"/>
        </w:rPr>
        <w:t xml:space="preserve">those for the need of the asset-light, high-mobility, cost-optimization and minimum-feasible minimalist principles;</w:t>
      </w:r>
    </w:p>
    <w:p>
      <w:pPr>
        <w:numPr>
          <w:ilvl w:val="0"/>
          <w:numId w:val="1009"/>
        </w:numPr>
        <w:spacing w:after="120" w:line="312" w:lineRule="auto"/>
      </w:pPr>
      <w:r>
        <w:rPr>
          <w:rFonts w:ascii="DejaVu Serif" w:hAnsi="DejaVu Serif" w:eastAsia="Noto Serif CJK SC"/>
          <w:color w:val="000000"/>
          <w:sz w:val="22"/>
        </w:rPr>
        <w:t xml:space="preserve">other special sojourning circumstances conforming to the purposes of this Charter.</w:t>
      </w:r>
    </w:p>
    <w:p>
      <w:pPr>
        <w:pStyle w:val="FirstParagraph"/>
        <w:spacing w:after="120" w:line="312" w:lineRule="auto"/>
      </w:pPr>
      <w:r>
        <w:rPr>
          <w:rFonts w:ascii="DejaVu Serif" w:hAnsi="DejaVu Serif" w:eastAsia="Noto Serif CJK SC"/>
          <w:color w:val="000000"/>
          <w:sz w:val="22"/>
        </w:rPr>
        <w:t xml:space="preserve">The Author may realize it by adopting the following residential ways, forms and channels:</w:t>
      </w:r>
    </w:p>
    <w:p>
      <w:pPr>
        <w:pStyle w:val="BodyText"/>
        <w:spacing w:after="120" w:line="312" w:lineRule="auto"/>
      </w:pPr>
      <w:r>
        <w:rPr>
          <w:rFonts w:ascii="DejaVu Serif" w:hAnsi="DejaVu Serif" w:eastAsia="Noto Serif CJK SC"/>
          <w:color w:val="000000"/>
          <w:sz w:val="22"/>
        </w:rPr>
        <w:t xml:space="preserve">Item 1: Container houses (including container-converted dwellings);</w:t>
      </w:r>
    </w:p>
    <w:p>
      <w:pPr>
        <w:pStyle w:val="BodyText"/>
        <w:spacing w:after="120" w:line="312" w:lineRule="auto"/>
      </w:pPr>
      <w:r>
        <w:rPr>
          <w:rFonts w:ascii="DejaVu Serif" w:hAnsi="DejaVu Serif" w:eastAsia="Noto Serif CJK SC"/>
          <w:color w:val="000000"/>
          <w:sz w:val="22"/>
        </w:rPr>
        <w:t xml:space="preserve">Item 2: Mobile prefabricated houses and movable prefabricated houses (including prefabricated assembled houses);</w:t>
      </w:r>
    </w:p>
    <w:p>
      <w:pPr>
        <w:pStyle w:val="BodyText"/>
        <w:spacing w:after="120" w:line="312" w:lineRule="auto"/>
      </w:pPr>
      <w:r>
        <w:rPr>
          <w:rFonts w:ascii="DejaVu Serif" w:hAnsi="DejaVu Serif" w:eastAsia="Noto Serif CJK SC"/>
          <w:color w:val="000000"/>
          <w:sz w:val="22"/>
        </w:rPr>
        <w:t xml:space="preserve">Item 3: Disaster-relief tents and large military tents (including emergency-relief marquees and disaster-resettlement tents);</w:t>
      </w:r>
    </w:p>
    <w:p>
      <w:pPr>
        <w:pStyle w:val="BodyText"/>
        <w:spacing w:after="120" w:line="312" w:lineRule="auto"/>
      </w:pPr>
      <w:r>
        <w:rPr>
          <w:rFonts w:ascii="DejaVu Serif" w:hAnsi="DejaVu Serif" w:eastAsia="Noto Serif CJK SC"/>
          <w:color w:val="000000"/>
          <w:sz w:val="22"/>
        </w:rPr>
        <w:t xml:space="preserve">Item 4: Tents and camping (including camping tents, self-drive camping and stays at campsites);</w:t>
      </w:r>
    </w:p>
    <w:p>
      <w:pPr>
        <w:pStyle w:val="BodyText"/>
        <w:spacing w:after="120" w:line="312" w:lineRule="auto"/>
      </w:pPr>
      <w:r>
        <w:rPr>
          <w:rFonts w:ascii="DejaVu Serif" w:hAnsi="DejaVu Serif" w:eastAsia="Noto Serif CJK SC"/>
          <w:color w:val="000000"/>
          <w:sz w:val="22"/>
        </w:rPr>
        <w:t xml:space="preserve">Item 5: Nomadic-style dwellings such as yurts and felt tents;</w:t>
      </w:r>
    </w:p>
    <w:p>
      <w:pPr>
        <w:pStyle w:val="BodyText"/>
        <w:spacing w:after="120" w:line="312" w:lineRule="auto"/>
      </w:pPr>
      <w:r>
        <w:rPr>
          <w:rFonts w:ascii="DejaVu Serif" w:hAnsi="DejaVu Serif" w:eastAsia="Noto Serif CJK SC"/>
          <w:color w:val="000000"/>
          <w:sz w:val="22"/>
        </w:rPr>
        <w:t xml:space="preserve">Item 6: Light ecological dwellings such as wooden houses, tree houses and light-steel assembled cabins;</w:t>
      </w:r>
    </w:p>
    <w:p>
      <w:pPr>
        <w:pStyle w:val="BodyText"/>
        <w:spacing w:after="120" w:line="312" w:lineRule="auto"/>
      </w:pPr>
      <w:r>
        <w:rPr>
          <w:rFonts w:ascii="DejaVu Serif" w:hAnsi="DejaVu Serif" w:eastAsia="Noto Serif CJK SC"/>
          <w:color w:val="000000"/>
          <w:sz w:val="22"/>
        </w:rPr>
        <w:t xml:space="preserve">Item 7: Towable RVs and long-term stays at RV campsites;</w:t>
      </w:r>
    </w:p>
    <w:p>
      <w:pPr>
        <w:pStyle w:val="BodyText"/>
        <w:spacing w:after="120" w:line="312" w:lineRule="auto"/>
      </w:pPr>
      <w:r>
        <w:rPr>
          <w:rFonts w:ascii="DejaVu Serif" w:hAnsi="DejaVu Serif" w:eastAsia="Noto Serif CJK SC"/>
          <w:color w:val="000000"/>
          <w:sz w:val="22"/>
        </w:rPr>
        <w:t xml:space="preserve">Item 8: Micro shared accommodation such as capsule hotels and space-capsule hotels;</w:t>
      </w:r>
    </w:p>
    <w:p>
      <w:pPr>
        <w:pStyle w:val="BodyText"/>
        <w:spacing w:after="120" w:line="312" w:lineRule="auto"/>
      </w:pPr>
      <w:r>
        <w:rPr>
          <w:rFonts w:ascii="DejaVu Serif" w:hAnsi="DejaVu Serif" w:eastAsia="Noto Serif CJK SC"/>
          <w:color w:val="000000"/>
          <w:sz w:val="22"/>
        </w:rPr>
        <w:t xml:space="preserve">Item 9: Home exchange (including collaborative home exchange and mutual-aid stays, exchanging accommodation by way of civil cooperation);</w:t>
      </w:r>
    </w:p>
    <w:p>
      <w:pPr>
        <w:pStyle w:val="BodyText"/>
        <w:spacing w:after="120" w:line="312" w:lineRule="auto"/>
      </w:pPr>
      <w:r>
        <w:rPr>
          <w:rFonts w:ascii="DejaVu Serif" w:hAnsi="DejaVu Serif" w:eastAsia="Noto Serif CJK SC"/>
          <w:color w:val="000000"/>
          <w:sz w:val="22"/>
        </w:rPr>
        <w:t xml:space="preserve">Item 10: Other temporary, mobile and minimum-feasible residential forms conforming to the purposes of this Charter.</w:t>
      </w:r>
    </w:p>
    <w:p>
      <w:pPr>
        <w:pStyle w:val="BodyText"/>
        <w:spacing w:after="120" w:line="312" w:lineRule="auto"/>
      </w:pPr>
      <w:r>
        <w:rPr>
          <w:rFonts w:ascii="DejaVu Serif" w:hAnsi="DejaVu Serif" w:eastAsia="Noto Serif CJK SC"/>
          <w:color w:val="000000"/>
          <w:sz w:val="22"/>
        </w:rPr>
        <w:t xml:space="preserve">The adoption of the above forms must all conform to the asset-light, high-mobility and minimum-feasible minimalist principles and the principle of not purchasing real estate (Annex A.04.001); wherever the expressions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employ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work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involved, in accordance with the iron rule of the Charter’s terminology they are all understood as relationships of civil cooperation and collaboration, and absolutely do not constitute a labor-employment relationship.</w:t>
      </w:r>
    </w:p>
    <w:tbl>
      <w:tblPr>
        <w:tblStyle w:val="Table"/>
        <w:tblW w:type="pct" w:w="500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3"/>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Where any of the following circumstances exists, the Author’s life of global sojourning may be realized by adopting, in accordance with law, the following residential ways, forms and channels: paragraph 1 【Applicable Circumstances】 (1) those for the need of temporary, mobile and fluid residence; (2) those for the need of emergency refuge in response to natural disasters, public-health incidents, emergencies and the like; (3) those for the need of disaster resettlement and transitional dwelling; (4) those for the need of the asset-light, high-mobility, cost-optimization and minimum-feasible minimalist principles; (5) other special sojourning circumstances conforming to the purposes of this Charter; paragraph 2 【Residential Forms】 Item 1 container houses (including container-converted dwellings); Item 2 mobile prefabricated houses and movable prefabricated houses (including prefabricated assembled houses); Item 3 disaster-relief tents and large military tents (including emergency-relief marquees and disaster-resettlement tents); Item 4 tents and camping (including camping tents, self-drive camping and stays at campsites); Item 5 nomadic-style dwellings such as yurts and felt tents; Item 6 light ecological dwellings such as wooden houses, tree houses and light-steel assembled cabins; Item 7 towable RVs and long-term stays at RV campsites; Item 8 micro shared accommodation such as capsule hotels and space-capsule hotels; Item 9 home exchange (including collaborative home exchange and mutual-aid stays, exchanging accommodation by way of civil cooperation); Item 10 other temporary, mobile and minimum-feasible residential forms conforming to the purposes of this Charter; paragraph 3 【Common Principles】 the adoption of the above forms must all conform to the asset-light, high-mobility and minimum-feasible minimalist principles and the principle of not purchasing real estate (Annex A.04.001); wherever the expressions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employ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work</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involved, in accordance with the iron rule of the Charter’s terminology they are all understood as relationships of civil cooperation and collaboration, and absolutely do not constitute a labor-employment relationship. (The full text is subject to the authoritative text; this article was added by Corrective Act (4) of 25 September 2026, which has been reviewed, countersigned and approved by the Author, and signed into effect.)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a supplementary provision to Article 22 【The Life Condition of Global Sojourning】, expanding the extension of its residential forms. Article 22 establishes the outline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global sojourning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enumerating homestays, youth hostels, hotels, lodging, leasing, the right of residence, RVs and seven other categories of accommodation together with various travel items; yet as the times evolve and residential technology is renewed day by day, new residential forms such as container houses, mobile prefabricated houses, disaster-relief tents, camping tents, yurts, wooden houses, RV campsites and capsule hotels have emerged one after another, and are especially necessary in times of emergency relief. Hence this article is set to make the matter comprehensive: it first lists the applicable circumstances as the approaches, then lists ten forms as the list, and finally takes the common principles as the constraint. Its legislative purpose is consistent with Article 22 — to make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sojourning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 sustainable and adaptable life form.</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five circumstances of paragraph 1 are the threshold of application of this article —</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temporary, mobile and fluid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(routine sojourning),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emergency refuge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(natural disasters, public-health incidents, emergencies),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disaster resettlement and transitional dwelling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asset-light, high-mobility, cost-optimization and minimum-feasible 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other special sojourning circumstances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five are juxtaposed, and the invocation suffices if any one of them is present. The ten forms of paragraph 2 are all the realization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asset-light, high-mobility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orientation: container houses, mobile prefabricated houses and disaster-relief tents are dismantlable and relocatable; camping, yurts and wooden houses are close to nature; RV campsites, capsule hotels and home exchange take sharing and mobility as their core. The common principles of paragraph 3 reiterate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asset-light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red line of Article 8-3 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real-estate purchase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of Annex A.04.001; and as for Item 9</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home exchange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 is the exchanging of accommodation by way of civil cooperation such as skill collaboration, service exchange and experience sharing; in accordance with the TERM-REVIEW-001 General Rules for Terminology-Consistency Review, it must not be expressed by words implying labor subordination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working in exchange for lodging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the purpose of de-employment-ization must be firmly upheld here in particular. Corrective Act (4) additionally sets two articles, 【Terminology Correction】 and 【Connection with Existing Provisions】, clarifying the order of its effect and application.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22, Article 8-3, Article 23, Article 31, Annex A.04.001; Corrective Act (4) (effective 25 September 2026).</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60"/>
    <w:bookmarkStart w:id="61" w:name="X3a578b97283edcec4d87ddf9fa3826e32b87fd4"/>
    <w:p>
      <w:pPr>
        <w:pStyle w:val="Heading3"/>
        <w:spacing w:after="120" w:line="312" w:lineRule="auto"/>
        <w:jc w:val="left"/>
      </w:pPr>
      <w:r>
        <w:rPr>
          <w:rFonts w:ascii="DejaVu Serif" w:hAnsi="DejaVu Serif" w:eastAsia="Noto Serif CJK SC"/>
          <w:color w:val="000000"/>
          <w:sz w:val="26"/>
        </w:rPr>
        <w:t xml:space="preserve">Article 22-3 【Waterborne and Other Special Forms of Residence】</w:t>
      </w:r>
    </w:p>
    <w:p>
      <w:pPr>
        <w:pStyle w:val="FirstParagraph"/>
        <w:spacing w:after="120" w:line="312" w:lineRule="auto"/>
      </w:pPr>
      <w:r>
        <w:rPr>
          <w:rFonts w:ascii="DejaVu Serif" w:hAnsi="DejaVu Serif" w:eastAsia="Noto Serif CJK SC"/>
          <w:color w:val="000000"/>
          <w:sz w:val="22"/>
        </w:rPr>
        <w:t xml:space="preserve">〔This article was added by Corrective Act (5) of 25 September 2026; reviewed, countersigned and approved by the Author, and signed into effect.〕</w:t>
      </w:r>
    </w:p>
    <w:p>
      <w:pPr>
        <w:pStyle w:val="BodyText"/>
        <w:spacing w:after="120" w:line="312" w:lineRule="auto"/>
      </w:pPr>
      <w:r>
        <w:rPr>
          <w:rFonts w:ascii="DejaVu Serif" w:hAnsi="DejaVu Serif" w:eastAsia="Noto Serif CJK SC"/>
          <w:color w:val="000000"/>
          <w:sz w:val="22"/>
        </w:rPr>
        <w:t xml:space="preserve">In the following special circumstances, the Author’s life of global sojourning may adopt waterborne and other unconventional-carrier residential forms:</w:t>
      </w:r>
    </w:p>
    <w:p>
      <w:pPr>
        <w:numPr>
          <w:ilvl w:val="0"/>
          <w:numId w:val="1010"/>
        </w:numPr>
        <w:spacing w:after="120" w:line="312" w:lineRule="auto"/>
      </w:pPr>
      <w:r>
        <w:rPr>
          <w:rFonts w:ascii="DejaVu Serif" w:hAnsi="DejaVu Serif" w:eastAsia="Noto Serif CJK SC"/>
          <w:color w:val="000000"/>
          <w:sz w:val="22"/>
        </w:rPr>
        <w:t xml:space="preserve">those for the need of emergency refuge, disaster resettlement and the handling of emergencies;</w:t>
      </w:r>
    </w:p>
    <w:p>
      <w:pPr>
        <w:numPr>
          <w:ilvl w:val="0"/>
          <w:numId w:val="1010"/>
        </w:numPr>
        <w:spacing w:after="120" w:line="312" w:lineRule="auto"/>
      </w:pPr>
      <w:r>
        <w:rPr>
          <w:rFonts w:ascii="DejaVu Serif" w:hAnsi="DejaVu Serif" w:eastAsia="Noto Serif CJK SC"/>
          <w:color w:val="000000"/>
          <w:sz w:val="22"/>
        </w:rPr>
        <w:t xml:space="preserve">those for the need of unconventional circumstances such as special sojourning experiences and investigation and research.</w:t>
      </w:r>
    </w:p>
    <w:p>
      <w:pPr>
        <w:pStyle w:val="FirstParagraph"/>
        <w:spacing w:after="120" w:line="312" w:lineRule="auto"/>
      </w:pPr>
      <w:r>
        <w:rPr>
          <w:rFonts w:ascii="DejaVu Serif" w:hAnsi="DejaVu Serif" w:eastAsia="Noto Serif CJK SC"/>
          <w:color w:val="000000"/>
          <w:sz w:val="22"/>
        </w:rPr>
        <w:t xml:space="preserve">Item 1: Waterborne residential forms such as houseboats and boat lodging;</w:t>
      </w:r>
    </w:p>
    <w:p>
      <w:pPr>
        <w:pStyle w:val="BodyText"/>
        <w:spacing w:after="120" w:line="312" w:lineRule="auto"/>
      </w:pPr>
      <w:r>
        <w:rPr>
          <w:rFonts w:ascii="DejaVu Serif" w:hAnsi="DejaVu Serif" w:eastAsia="Noto Serif CJK SC"/>
          <w:color w:val="000000"/>
          <w:sz w:val="22"/>
        </w:rPr>
        <w:t xml:space="preserve">Item 2: Special waterborne carriers such as floating platforms on the water surface and floating waterborne dwellings;</w:t>
      </w:r>
    </w:p>
    <w:p>
      <w:pPr>
        <w:pStyle w:val="BodyText"/>
        <w:spacing w:after="120" w:line="312" w:lineRule="auto"/>
      </w:pPr>
      <w:r>
        <w:rPr>
          <w:rFonts w:ascii="DejaVu Serif" w:hAnsi="DejaVu Serif" w:eastAsia="Noto Serif CJK SC"/>
          <w:color w:val="000000"/>
          <w:sz w:val="22"/>
        </w:rPr>
        <w:t xml:space="preserve">Item 3: Temporary waterborne residential forms under special circumstances such as emergency refuge and disaster resettlement.</w:t>
      </w:r>
    </w:p>
    <w:p>
      <w:pPr>
        <w:pStyle w:val="BodyText"/>
        <w:spacing w:after="120" w:line="312" w:lineRule="auto"/>
      </w:pPr>
      <w:r>
        <w:rPr>
          <w:rFonts w:ascii="DejaVu Serif" w:hAnsi="DejaVu Serif" w:eastAsia="Noto Serif CJK SC"/>
          <w:color w:val="000000"/>
          <w:sz w:val="22"/>
        </w:rPr>
        <w:t xml:space="preserve">The forms listed in the preceding paragraph are marked only as special forms, used only in particular circumstances, and are not to serve as a standing residential form.</w:t>
      </w:r>
    </w:p>
    <w:p>
      <w:pPr>
        <w:pStyle w:val="BodyText"/>
        <w:spacing w:after="120" w:line="312" w:lineRule="auto"/>
      </w:pPr>
      <w:r>
        <w:rPr>
          <w:rFonts w:ascii="DejaVu Serif" w:hAnsi="DejaVu Serif" w:eastAsia="Noto Serif CJK SC"/>
          <w:color w:val="000000"/>
          <w:sz w:val="22"/>
        </w:rPr>
        <w:t xml:space="preserve">Those adopting waterborne and other unconventional-carrier residential forms must conform to the provisions of the laws, administrative regulations and competent authorities on water-area management, navigational safety, public order, fire protection, environmental protection and the like, and must not obstruct the public interest or the lawful rights and interests of others.</w:t>
      </w:r>
    </w:p>
    <w:p>
      <w:pPr>
        <w:pStyle w:val="BodyText"/>
        <w:spacing w:after="120" w:line="312" w:lineRule="auto"/>
      </w:pPr>
      <w:r>
        <w:rPr>
          <w:rFonts w:ascii="DejaVu Serif" w:hAnsi="DejaVu Serif" w:eastAsia="Noto Serif CJK SC"/>
          <w:color w:val="000000"/>
          <w:sz w:val="22"/>
        </w:rPr>
        <w:t xml:space="preserve">The adoption of this form is governed mutatis mutandis by the provisions of paragraph 3 【Common Principles】 of Article 22-2.</w:t>
      </w:r>
    </w:p>
    <w:tbl>
      <w:tblPr>
        <w:tblStyle w:val="Table"/>
        <w:tblW w:type="pct" w:w="500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4"/>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following special circumstances, the Author’s life of global sojourning may adopt waterborne and other unconventional-carrier residential forms: paragraph 1 【Applicable Circumstances】 (1) those for the need of emergency refuge, disaster resettlement and the handling of emergencies; (2) those for the need of unconventional circumstances such as special sojourning experiences and investigation and research; paragraph 2 【Residential Forms】 Item 1 waterborne residential forms such as houseboats and boat lodging; Item 2 special waterborne carriers such as floating platforms on the water surface and floating waterborne dwellings; Item 3 temporary waterborne residential forms under special circumstances such as emergency refuge and disaster resettlement; paragraph 3 【Special-Form Marking】 the forms listed in the preceding paragraph are marked only as special forms, used only in particular circumstances, and are not to serve as a standing residential form; paragraph 4 【Safety and Compliance Restrictions】 those adopting waterborne and other unconventional-carrier residential forms must conform to the provisions of the laws, administrative regulations and competent authorities on water-area management, navigational safety, public order, fire protection, environmental protection and the like, and must not obstruct the public interest or the lawful rights and interests of others; paragraph 5 【Mutatis Mutandis Application】 the adoption of this form is governed mutatis mutandis by the provisions of paragraph 3 【Common Principles】 of Article 22-2. (The full text is subject to the authoritative text; this article was added by Corrective Act (5) of 25 September 2026, which has been reviewed, countersigned and approved by the Author, and signed into effect.)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a supplement to Article 22-2, dealing specifically with waterborne and unconventional-carrier dwellings. Houseboats, boat lodging and floating platforms, though also possible forms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global sojourning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have their dwellings floating on the water and involve the special regulation of water-area management, navigational safety, public order and fire protection, and are entirely different from the land forms; hence they may not be listed together with the ten land forms, but are established in a separate article and characterized separately. Its legislative purpose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recognizing their possibility while limiting their positioning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not to serve as an ordinary residential form, but only to be marked as a special form and permitted under particular circumstances.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Paragraph 1 limits the applicable circumstances to two categories,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emergency refuge, disaster resettlement and the handling of emergencies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special sojourning experiences and investigation and research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from which its non-normal positioning may be seen. Paragraph 3’s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marked only as special forms, used only in particular circumstances, and not to serve as a standing residential form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core of this article’s characterization, clearly distinct from the land forms of Article 22-2 that may be adopted routinely. The safety and compliance restrictions of paragraph 4 precisely accord with Article 25 【Case-by-Case Deliberation】 and the division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express mandatory provisions of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G.01.001 — all mandatory provisions concerning water areas, navigation, public order, fire protection and environmental protection must be observed. Paragraph 5’s mutatis mutandis application of the common principles makes the purposes of de-employment-ization and asset-lightness run through consistently. Corrective Act (5) additionally sets two articles, 【Connection with Existing Provisions】 and 【Explanation of the Special Form】, to secure the boundaries of its effect and application.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22, Article 22-2, Article 25, Annex A.04.001, Annex G.01.001; Corrective Act (5) (effective 25 September 2026).</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61"/>
    <w:bookmarkStart w:id="62" w:name="X3cc36b83b526df4306603be52bd0642abdb689a"/>
    <w:p>
      <w:pPr>
        <w:pStyle w:val="Heading3"/>
        <w:spacing w:after="120" w:line="312" w:lineRule="auto"/>
        <w:jc w:val="left"/>
      </w:pPr>
      <w:r>
        <w:rPr>
          <w:rFonts w:ascii="DejaVu Serif" w:hAnsi="DejaVu Serif" w:eastAsia="Noto Serif CJK SC"/>
          <w:color w:val="000000"/>
          <w:sz w:val="26"/>
        </w:rPr>
        <w:t xml:space="preserve">Article 23 【The Ideal State of Essentialism】</w:t>
      </w:r>
    </w:p>
    <w:p>
      <w:pPr>
        <w:pStyle w:val="FirstParagraph"/>
        <w:spacing w:after="120" w:line="312" w:lineRule="auto"/>
      </w:pPr>
      <w:r>
        <w:rPr>
          <w:rFonts w:ascii="DejaVu Serif" w:hAnsi="DejaVu Serif" w:eastAsia="Noto Serif CJK SC"/>
          <w:color w:val="000000"/>
          <w:sz w:val="22"/>
        </w:rPr>
        <w:t xml:space="preserve">In order to experience the Author’s individual life with the greatest degree of freedom, the Author may, in a state where the criminal law and its judicial interpretations at the moment when the state of affairs occurs do not expressly prohibit it, by virtue of his own rational thinking, independently and rationally and carefully think and enumerate all the options, and make the strategic and tactical choices that best accord with his own heart; and, on the basis of not contravening the foregoing principles, may in any form engage in any for-profit business activity that the Author approves, including but not limited to the following: (1) equity-structure planning and design activities; (2) consulting and agency activities for equity-structure planning and design; (3) corporate organizational-structure planning and design activities; (4) consulting and agency activities for corporate organizational-structure planning and design; (5) business-model planning and design activities; (6) consulting and agency activities for business-model planning and design; (7) legal-consulting and advisory activities permitted by law; (8) various information-consulting activities; (9) various project-planning activities; (10) various civil-agency activities; (11) cultural dissemination and cultural media activities; (12) for-profit business activities in the tea industry; (13) for-profit business activities in the Hanfu cultural industry; (14) for-profit business activities in cross-border e-commerce; (15) for-profit business activities in entry-exit agency services; (16) for-profit business activities related to entry-exit (cross-border) business, investment, investigation and finance (including but not limited to international equity-investment operations, equity-financing operations, and private-fund management and operation) and the establishment and operation of (group or single-entity corporate legal-person) entities; (17) for-profit business activities related to translation, (electronic) publishing and cross-cultural communication; (18) for-profit business activities related to tourism and travel; (19) for-profit business activities related to agency services for international marriage, the formation of international families, international migration and the acquisition of permanent-residence status; (20) for-profit business activities related to academic affairs such as international study, study tours and academic visits; (21) any other lawful business activity that the Author is interested in and that does not violate the law; (22) 【The ideal state of financial freedom】 non-labor positive (inflow) cash flow greater than 125% or more of total expenditure for the same period, so that there is no need to continue to sell any of the Author’s own subject matters personally in exchange for consumption expenditure, being the ideal life condition and mode; (23) 【The ideal state of business operations】 business operations that are standardized, automated, institutionalized, internationalized and group-oriented, in which the founder, as the actual controller, may withdraw from operational activities.</w:t>
      </w:r>
    </w:p>
    <w:p>
      <w:pPr>
        <w:pStyle w:val="Compact"/>
        <w:numPr>
          <w:ilvl w:val="0"/>
          <w:numId w:val="1011"/>
        </w:numPr>
        <w:spacing w:after="120" w:line="312" w:lineRule="auto"/>
      </w:pPr>
      <w:r>
        <w:rPr>
          <w:rFonts w:ascii="DejaVu Serif" w:hAnsi="DejaVu Serif" w:eastAsia="Noto Serif CJK SC"/>
          <w:color w:val="000000"/>
          <w:sz w:val="22"/>
        </w:rPr>
        <w:t xml:space="preserve">【The ideal state of free time arrangement】 the individual’s timetable for engaging in activities, the specific content of the matters and the implementation time are all arranged by the Author himself, others may not interfere, nor does he accept any person arranging his daily activities in any way, no exclusion clause is set for this, and any activity must have its time, place and manner negotiated on an equal footing, failing which it is categorically not accepted in any circumstances, unless it directly threatens the Author’s life.</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order to experience the Author’s individual life with the greatest degree of freedom, the Author may, in a state where the criminal law and its judicial interpretations at the moment when the state of affairs occurs do not expressly prohibit it, by virtue of his own rational thinking, independently and rationally and carefully think and enumerate all the options, and make the strategic and tactical choices that best accord with his own heart; and, on the basis of not contravening the foregoing principles, may in any form engage in any for-profit business activity that he approves, including but not limited to: (1) equity-structure planning and design activities; (2) consulting and agency for equity-structure planning and design; (3) corporate organizational-structure planning and design; (4) consulting and agency for corporate organizational-structure planning and design; (5) business-model planning and design; (6) consulting and agency for business-model planning and design; (7) legal consulting and advice permitted by law; (8) various information consulting; (9) various project planning; (10) various civil agency; (11) …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declares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state of essentialism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in fields not expressly prohibited by the criminal law, to choose freely with rational thinking and to engage in approved for-profit activities in any form. Its legislative purpose lies in taking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whatever is not prohibited by law may be done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principle, maximizing the free space and business possibilities of the Author’s life.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ten-odd for-profit activities listed in this article (equity planning, structure design, business models, legal consulting, information consulting, project planning, civil agency, etc.) are in truth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list of the scope of business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referential with item (28) of Article 2, Article 8, and Articles 84 to 86.</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Independently enumerating all the options with rational thinking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method of decision, akin to Article 25 【Case-by-Case Deliberation】 and Article 75 【Decision-Making by Mental Models】.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 Article 25, Article 75, Article 77, Articles 84 to 86.</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62"/>
    <w:bookmarkStart w:id="63" w:name="X23f57b1f639c741c12cb27c249df44b5b33db3e"/>
    <w:p>
      <w:pPr>
        <w:pStyle w:val="Heading3"/>
        <w:spacing w:after="120" w:line="312" w:lineRule="auto"/>
        <w:jc w:val="left"/>
      </w:pPr>
      <w:r>
        <w:rPr>
          <w:rFonts w:ascii="DejaVu Serif" w:hAnsi="DejaVu Serif" w:eastAsia="Noto Serif CJK SC"/>
          <w:color w:val="000000"/>
          <w:sz w:val="26"/>
        </w:rPr>
        <w:t xml:space="preserve">Article 24 【The Principle of Conditionalist Transactional Essentialism Regarding All Things; the Principle of an Action Model Taking Criminal Law as the Initial Baseline and Maintaining Good-Faith Conduct】</w:t>
      </w:r>
    </w:p>
    <w:p>
      <w:pPr>
        <w:pStyle w:val="FirstParagraph"/>
        <w:spacing w:after="120" w:line="312" w:lineRule="auto"/>
      </w:pPr>
      <w:r>
        <w:rPr>
          <w:rFonts w:ascii="DejaVu Serif" w:hAnsi="DejaVu Serif" w:eastAsia="Noto Serif CJK SC"/>
          <w:color w:val="000000"/>
          <w:sz w:val="22"/>
        </w:rPr>
        <w:t xml:space="preserve">The Author affirms that all matters and all things are constructed on the basis of conditions and are transactional-essentialist activities; attributions that do not reduce to the exchange conditions between the (the) person and (other non-Author) persons are all non-essential causes; cognitive thinking ought to start freely from the attribution of the exchange conditions between the (the) person and (other non-Author) persons, and take the mandatory provisions of the criminal law and its judicial interpretations as the lowest baseline, raising it continuously as the Author’s own conditions improve and the persons under his leadership increase, and with a good-faith original intention, perform mutually beneficial conduct.</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title of this article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Principle of Conditionalist Transactional Essentialism Regarding All Things; the Principle of an Action Model Taking Criminal Law as the Initial Baseline and Maintaining Good-Faith Conduct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main text explains: all things may be understood transactionally, and all relations are exchanges under conditionalism; the criminal law is taken as the initial baseline of action, while the model of good-faith conduct is maintained.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cornerstone of worldview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Charter —</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conditionalist transactional essentialism regarding all things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meaning is twofold: first,</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transactionalization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understanding the relations between persons through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conditionalist exchange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(akin to Article 35,</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matters involve equality of personality and exchange based on law and contract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second,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the good-faith baseline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action takes the criminal law as the initial baseline while maintaining good faith. This article is the philosophical fountainhead of Article 35 and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 principles of civil activities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Articles 87 to 92.</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Transactional essentialism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does not negate affection and righteousness, but is a sober cognitive tool: by viewing relations through the lens of transaction, one is not deluded by false sentiment nor deprived of interests. Yet this article at the same time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criminal law as the initial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maintains good-faith conduct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showing that the undertone of transactionalization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legality +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running in parallel without conflict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6 and Article 90 【The Principle of Good Faith】. Together with the Author’s life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72, 73, 111), this article constitutes two sides of one whole: knowing the reality of transaction and performing the goodness of altruism.</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may have been omitted in order in the main text of the base edition; it is now supplemented in accordance with the systematic catalogue, and its essential purport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35, Article 45 【The Final Principle of Attribution to the Person】, Article 72, Article 73, Articles 87 to 92.</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000000"/>
                <w:sz w:val="19"/>
              </w:rPr>
              <w:t xml:space="preserve">(Continued with Article 25 and the articles thereafter)</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63"/>
    <w:bookmarkStart w:id="64" w:name="X0006581072a6af6df5bd4963dd4f1018ba223f7"/>
    <w:p>
      <w:pPr>
        <w:pStyle w:val="Heading3"/>
        <w:spacing w:after="120" w:line="312" w:lineRule="auto"/>
        <w:jc w:val="left"/>
      </w:pPr>
      <w:r>
        <w:rPr>
          <w:rFonts w:ascii="DejaVu Serif" w:hAnsi="DejaVu Serif" w:eastAsia="Noto Serif CJK SC"/>
          <w:color w:val="000000"/>
          <w:sz w:val="26"/>
        </w:rPr>
        <w:t xml:space="preserve">Article 25 【The Principle of Case-by-Case Deliberation and Single-Occasion Analysis】</w:t>
      </w:r>
    </w:p>
    <w:p>
      <w:pPr>
        <w:pStyle w:val="FirstParagraph"/>
        <w:spacing w:after="120" w:line="312" w:lineRule="auto"/>
      </w:pPr>
      <w:r>
        <w:rPr>
          <w:rFonts w:ascii="DejaVu Serif" w:hAnsi="DejaVu Serif" w:eastAsia="Noto Serif CJK SC"/>
          <w:color w:val="000000"/>
          <w:sz w:val="22"/>
        </w:rPr>
        <w:t xml:space="preserve">In order to ensure that the influence of the outside world upon the life course of the person to whom the Charter applies is genuinely reduced to the minimum necessary limit, to avoid interference and intervention in the Author’s thinking, cognition and decision-making arising from persons including but not limited to parents, relatives, friends, advisers or any other persons contrary to the true intent of the author of the Charter, and to ensure that the Author’s thinking remains continuously active and retains innovativeness and creativity, the analysis of any matter at any time should, in combination with the other principles of this Charter and this principle, implement the approach of case-by-case deliberation and single-occasion analysis, and bear responsibility independently.</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order to ensure that the influence of the outside world upon the life course of the person to whom the Charter applies is genuinely reduced to the minimum necessary limit, to avoid interference and intervention in the Author’s thinking, cognition and decision-making arising from parents, relatives, friends, advisers or any other persons contrary to the true intent of the author of the Charter, and to ensure that the Author’s thinking remains continuously active and retains innovativeness and creativity, the analysis of any matter at any time should, in combination with the other principles of this Charter and this principle, implement the approach of case-by-case deliberation and single-occasion analysis, and bear responsibility independently.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establishes the decision methodology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case-by-case deliberation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every matter is analyzed separately, without applying old precedents and without accommodating others, in order to realize the purpose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necessary intervention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This is the operationalization of the purposes of Article 1.</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What this article guards against is not only the imposition of the outside world, but still more the soft interference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those close to one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(parents, relatives, friends, advisers).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combination with the other principles of this Charter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shows that case-by-case deliberation is not isolated arbitrariness, but a concrete adjudication taking the Charter as a whole as its criterion. Together with Article 26 【Making Decisions Autonomously, Solely in Accordance with Law】, Article 33 【Maximum Self-Determination】 and Article 54 【The Matter of Focus at Each Stage】, this article is a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Article 26, Article 33, Article 74 【Flexibility in Invoking Techniques and Instruments】, Article 119 【Review-ization】.</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64"/>
    <w:bookmarkStart w:id="65" w:name="Xb8c6606bce0d72953ab4016b28b7ec17b801995"/>
    <w:p>
      <w:pPr>
        <w:pStyle w:val="Heading3"/>
        <w:spacing w:after="120" w:line="312" w:lineRule="auto"/>
        <w:jc w:val="left"/>
      </w:pPr>
      <w:r>
        <w:rPr>
          <w:rFonts w:ascii="DejaVu Serif" w:hAnsi="DejaVu Serif" w:eastAsia="Noto Serif CJK SC"/>
          <w:color w:val="000000"/>
          <w:sz w:val="26"/>
        </w:rPr>
        <w:t xml:space="preserve">Article 26 【The Principle of Making Life Decisions Autonomously, Solely in Accordance with Law】</w:t>
      </w:r>
    </w:p>
    <w:p>
      <w:pPr>
        <w:pStyle w:val="FirstParagraph"/>
        <w:spacing w:after="120" w:line="312" w:lineRule="auto"/>
      </w:pPr>
      <w:r>
        <w:rPr>
          <w:rFonts w:ascii="DejaVu Serif" w:hAnsi="DejaVu Serif" w:eastAsia="Noto Serif CJK SC"/>
          <w:color w:val="000000"/>
          <w:sz w:val="22"/>
        </w:rPr>
        <w:t xml:space="preserve">The Author’s life — regardless of in what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under what ruler, and regardless of what any person’s evaluations or views of the Author may be — shall, on the premise or at the time that his rights to life, subsistence and lifelong freedom are not under serious realistic threat, accept no arrangement by any non-Author (autonomous will), nor any agency activity for the exercise of the power of choice; as to other persons (whatever labels they may bear), the Author holds a present veto right over any proposal of theirs.</w:t>
      </w:r>
    </w:p>
    <w:p>
      <w:pPr>
        <w:pStyle w:val="BodyText"/>
        <w:spacing w:after="120" w:line="312" w:lineRule="auto"/>
      </w:pPr>
      <w:r>
        <w:rPr>
          <w:rFonts w:ascii="DejaVu Serif" w:hAnsi="DejaVu Serif" w:eastAsia="Noto Serif CJK SC"/>
          <w:color w:val="000000"/>
          <w:sz w:val="22"/>
        </w:rPr>
        <w:t xml:space="preserve">This principle applies (without considering) whatever the counterpart’s identity, social relation to the Author, status, nationality, education or any other label may be. One should always remember that the other party is in essence also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that the Author, throughout his life and whatever the circumstances, ought to enjoy the natural rights of autonomous thinking and of autonomous power over his own life decisions — these two unalterable fundamental facts.</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life — regardless of in what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region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under what ruler, and regardless of what any person’s evaluations or views of the Author may be — shall, on the premise or at the time that his rights to life, subsistence and lifelong freedom are not under serious realistic threat, accept no arrangement by any non-Author (autonomous will), nor any agency activity for the exercise of the power of choice; as to other persons (whatever labels they may bear), the Author holds a present veto right over any proposal of theirs … the Author ought to enjoy the natural rights of autonomous thinking and of autonomous power over his own life decisions — these two unalterable fundamental facts.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establishes the absolute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autonomous decision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except where life, subsistence or lifelong freedom is under serious realistic threat, the Author accepts no non-autonomous arrangement or agency, and holds a present veto right over any person’s proposal. This is the action declaration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sovereign individual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veto (right of veto)</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this article is the institutional guarantee of the Author’s autonomy, and is the two sides of the same coin with Article 30 【No One Other Than the Author May Make Any Decision for the Author】: one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 am not to be arranged by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other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others may not decide for 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regardless of nationality, regardless of evaluation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echoes the cosmic-citizen standpoint of Article 7. It must, however, be read together with Article 125: autonomous decision has as its boundary the non-violation of mandatory legal provisions.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30, Article 33, Article 34, Article 125.</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65"/>
    <w:bookmarkStart w:id="66" w:name="Xfed767d09a594b1a2e63413bfeda736dac06935"/>
    <w:p>
      <w:pPr>
        <w:pStyle w:val="Heading3"/>
        <w:spacing w:after="120" w:line="312" w:lineRule="auto"/>
        <w:jc w:val="left"/>
      </w:pPr>
      <w:r>
        <w:rPr>
          <w:rFonts w:ascii="DejaVu Serif" w:hAnsi="DejaVu Serif" w:eastAsia="Noto Serif CJK SC"/>
          <w:color w:val="000000"/>
          <w:sz w:val="26"/>
        </w:rPr>
        <w:t xml:space="preserve">Article 27 【The Principle of Concentrating on the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Most Core Action</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of Life’s Conduct】</w:t>
      </w:r>
    </w:p>
    <w:p>
      <w:pPr>
        <w:pStyle w:val="FirstParagraph"/>
        <w:spacing w:after="120" w:line="312" w:lineRule="auto"/>
      </w:pPr>
      <w:r>
        <w:rPr>
          <w:rFonts w:ascii="DejaVu Serif" w:hAnsi="DejaVu Serif" w:eastAsia="Noto Serif CJK SC"/>
          <w:color w:val="000000"/>
          <w:sz w:val="22"/>
        </w:rPr>
        <w:t xml:space="preserve">Whenever working, the Author himself should choose to concentrate on doing the most profitable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most core action (or series of actions)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deal with other activities by all feasible lawful means of authorizing others, entrusting for handling, partnership, labor-service agency and the like.</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Whenever working, the Author himself should choose to concentrate on doing the most profitable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most core action (or series of actions)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deal with other activities by all feasible lawful means of authorizing others, entrusting for handling, partnership, labor-service agency and the like.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establishes the efficiency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concentrating on the most core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Author does only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most profitable core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all remaining matters are handed to others for handling by means of authorization, entrustment, partnership and agency. This is the method of the Author’s life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leverage-based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survival.</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shares the same logic as Article 20 【Purchasing Others’ Time, Energy and Attention】, Article 11 【The Ability to Make Others Act while Empty-Handed】 and Article 71 【Positioning and Market-Making】 — expanding individual effectiveness through organization and authorization. Wherever the expressions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authorize, entrust, partnership, labor-service agency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involved, they are all expressly provided by the Charter’s terminology to be relationships of cooperation and collaboration.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11, Article 20, Article 71, Annex D.02.001 【The Grand Code of Safe Conduct in Life】.</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66"/>
    <w:bookmarkStart w:id="67" w:name="X78bec8b0bcd7bc7ae46c1e653f4063295ec4cfc"/>
    <w:p>
      <w:pPr>
        <w:pStyle w:val="Heading3"/>
        <w:spacing w:after="120" w:line="312" w:lineRule="auto"/>
        <w:jc w:val="left"/>
      </w:pPr>
      <w:r>
        <w:rPr>
          <w:rFonts w:ascii="DejaVu Serif" w:hAnsi="DejaVu Serif" w:eastAsia="Noto Serif CJK SC"/>
          <w:color w:val="000000"/>
          <w:sz w:val="26"/>
        </w:rPr>
        <w:t xml:space="preserve">Article 28 【The Principle of Autonomously Making Decisions Not Pertaining to Fatal Matters or Weather Changes】</w:t>
      </w:r>
    </w:p>
    <w:p>
      <w:pPr>
        <w:pStyle w:val="FirstParagraph"/>
        <w:spacing w:after="120" w:line="312" w:lineRule="auto"/>
      </w:pPr>
      <w:r>
        <w:rPr>
          <w:rFonts w:ascii="DejaVu Serif" w:hAnsi="DejaVu Serif" w:eastAsia="Noto Serif CJK SC"/>
          <w:color w:val="000000"/>
          <w:sz w:val="22"/>
        </w:rPr>
        <w:t xml:space="preserve">Except for reasons of a fatal or highly dangerous nature, the Author does not, for reasons of weather, alter a decision or determination already autonomously made; where necessary it may be resolved by carrying rain gear and other rain-proof means, but as to a decided decision, it must in principle be implemented.</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Except for reasons of a fatal or highly dangerous nature, the Author does not, for reasons of weather, alter a decision or determination already autonomously made; where necessary it may be resolved by carrying rain gear and other rain-proof means, but as to a decided decision, it must in principle be implemented.</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Taking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altering a decided decision because of rain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 metaphor,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firmness of decision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 decided decision, except for fatal or high-risk reasons, must in principle be implemented, and is not moved by trivial external causes.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uses the small to illustrate the great: firmness of will is seen in the minute. It is referential with Article 6’s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value faithfulness, dare to 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dare to 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refers to the courage to correct errors,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alter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refers to the firmness of adhering to what is right. The two are not contradictory: change the error that ought to be changed, keep the promise that ought to be kept.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 Article 29, Article 70 【Long-Termist Thinking】, Article 86 【The Intensity of One’s Own Motivation】.</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67"/>
    <w:bookmarkStart w:id="68" w:name="X1d68ae4b05dc69c65a3000d5e12e4b48f009060"/>
    <w:p>
      <w:pPr>
        <w:pStyle w:val="Heading3"/>
        <w:spacing w:after="120" w:line="312" w:lineRule="auto"/>
        <w:jc w:val="left"/>
      </w:pPr>
      <w:r>
        <w:rPr>
          <w:rFonts w:ascii="DejaVu Serif" w:hAnsi="DejaVu Serif" w:eastAsia="Noto Serif CJK SC"/>
          <w:color w:val="000000"/>
          <w:sz w:val="26"/>
        </w:rPr>
        <w:t xml:space="preserve">Article 29 【The Principle of Making No Decision That Is Not for One’s Own Sake】</w:t>
      </w:r>
    </w:p>
    <w:p>
      <w:pPr>
        <w:pStyle w:val="FirstParagraph"/>
        <w:spacing w:after="120" w:line="312" w:lineRule="auto"/>
      </w:pPr>
      <w:r>
        <w:rPr>
          <w:rFonts w:ascii="DejaVu Serif" w:hAnsi="DejaVu Serif" w:eastAsia="Noto Serif CJK SC"/>
          <w:color w:val="000000"/>
          <w:sz w:val="22"/>
        </w:rPr>
        <w:t xml:space="preserve">Under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maximum self-determination and respect for it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Author, without the counterpart’s request, and not for his own sake or involving his own core interests, does not make any decision or determination on behalf of any natural person or legal-person organization other than the Author (including relatives, spouses, romantic partners, paid users and the like). The following circumstances are excepted: (1) where the Author’s own right to life and subsistence encounters a (serious) realistic threat, so that a specific decision or determination must immediately be made for a natural person or legal-person organization (real-power holder) other than the Author; (2) where it is necessary for the performance of duties under an identity chosen wholly on the basis of, or purely out of, the Author’s own autonomous will (the operator of an international private-fund-manager institution, an internationalized entrepreneur); (3) where it is required by an identity based on personal hobby (e.g., sojourner, freelance writer, translator) to practise, experience or delight the Author’s body and mind; (4) where, on the basis of mandatory provisions of the criminal law, a specific decision or determination must immediately be made for a natural person or legal-person organization (real-power holder) other than the Author, failing which the Author would face a realistic, substantive criminal punishment of a term of ten years or more or of life, or a substantive criminal punishment of the nature of deprivation of life;</w:t>
      </w:r>
    </w:p>
    <w:p>
      <w:pPr>
        <w:pStyle w:val="Compact"/>
        <w:numPr>
          <w:ilvl w:val="0"/>
          <w:numId w:val="1012"/>
        </w:numPr>
        <w:spacing w:after="120" w:line="312" w:lineRule="auto"/>
      </w:pPr>
      <w:r>
        <w:rPr>
          <w:rFonts w:ascii="DejaVu Serif" w:hAnsi="DejaVu Serif" w:eastAsia="Noto Serif CJK SC"/>
          <w:color w:val="000000"/>
          <w:sz w:val="22"/>
        </w:rPr>
        <w:t xml:space="preserve">where, on the basis of mandatory provisions of the civil law, the commercial law and their related laws, a specific decision or determination must immediately be made for a natural person or legal-person organization (real-power holder) other than the Author, failing otherwise to avoid a legal (monetary) punishment that is foreseeable at present and in the future and that, after rational analysis combined with the individual case, the Author considers unacceptable; (6) where, on the basis of the express provisions of the contractual terms of a particular Case, and on the basis of the principle of reciprocity or other principles, the Author considers that the immediate making of a specific decision or determination for a natural person or legal-person organization (real-power holder) other than the Author is based on the consensus between the Author and the counterpart (party); (7) where, upon the counterpart’s request or for or on the basis of the purpose of operations, finance and investment (long-term development or maintenance of the ultimate essential goal of life ⁵), it is unavoidable to immediately make a specific decision or determination for a natural person or legal-person organization (real-power holder) other than the Author. (Note: ⁵ on the premise of generally not violating, at the moment of the Author’s conduct, the criminal law (such as the Criminal Law of the People’s Republic of China, the Swiss Federal Criminal Code, etc.) of the place where the conduct occurs (and, in special circumstances, the place affected by the result of the conduct) — and, in special circumstances, not violating the express provisions of the aforesaid laws (codes) on a punishment of fixed-term imprisonment of ten years or more (excluding this figure) or a punishment equivalent to fixed-term imprisonment of ten years or more (excluding this figure) — as the absolute baseline, and with providing well-being to all, and helping others to achieve the ideal state that the Author is achieving or is about to achieve, out of oneness of mind with the Author’s own ideals and values, as the highest ideal state and goal of life, to build for the Author himself an asset system of subject matters providing a monthly inflow of currency of an amount not less than the total living consumption of the party himself for the same period, and by means of engaging others to make it so that for life the Author need not do any work or activity not out of his own subjective will for any consumption-type expenditure in his life.)</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5"/>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maximum self-determination and respect for 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Author, without the counterpart’s request, and not for his own sake or involving his own core interests, does not make any decision or determination on behalf of any natural person or legal-person organization other than the Author (including relatives, spouses, romantic partners, paid users and the like). The following circumstances are excepted: (1) where the Author’s own right to life and subsistence encounters a (serious) realistic threat, so that a specific decision or determination must immediately be made for a natural person or legal-person organization (real-power holder) other than the Author; (2) where it is necessary for the performance of duties under an identity chosen wholly on the basis of the Author’s own autonomous will (the operator of an international private-fund-manager institution, an internationalized entrepreneur); (3) where it is required by an identity based on personal hobby (e.g., sojourner, freelance writer, translator) to practise, experience or delight the Author’s body and mind; (4) where, on the basis of mandatory provisions of the criminal law, a specific decision or determination must immediately be made for a natural person or legal-person organization …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deciding on behalf of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apart from specific exceptions, the Author does not overstep his role to decide for others (including relatives, spouses, clients). This article is the mirror image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maximum 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33: if one wishes to be self-determining, then one also respects the self-determination of others.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four exceptions cover: emergency rescue (1), necessity of duty (2), identity and hobby (3), and mandatory law (4). Beyond these, one may in no case overstep the boundary. This article, together with Articles 30 and 34, forms the relational outlook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clear division of powers and responsibilities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akin to Article 112 【Prioritizing Praise】 and Article 118 【Equal Respect】.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30, Article 33, Article 34, Articles 94 to 99, Article 118.</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68"/>
    <w:bookmarkStart w:id="69" w:name="X874a79fe0145139e7f100014abf9e3faf97052d"/>
    <w:p>
      <w:pPr>
        <w:pStyle w:val="Heading3"/>
        <w:spacing w:after="120" w:line="312" w:lineRule="auto"/>
        <w:jc w:val="left"/>
      </w:pPr>
      <w:r>
        <w:rPr>
          <w:rFonts w:ascii="DejaVu Serif" w:hAnsi="DejaVu Serif" w:eastAsia="Noto Serif CJK SC"/>
          <w:color w:val="000000"/>
          <w:sz w:val="26"/>
        </w:rPr>
        <w:t xml:space="preserve">Article 30 【The Principle That No One Other Than the Author May Make Any Decision for the Author】</w:t>
      </w:r>
    </w:p>
    <w:p>
      <w:pPr>
        <w:pStyle w:val="FirstParagraph"/>
        <w:spacing w:after="120" w:line="312" w:lineRule="auto"/>
      </w:pPr>
      <w:r>
        <w:rPr>
          <w:rFonts w:ascii="DejaVu Serif" w:hAnsi="DejaVu Serif" w:eastAsia="Noto Serif CJK SC"/>
          <w:color w:val="000000"/>
          <w:sz w:val="22"/>
        </w:rPr>
        <w:t xml:space="preserve">On the basis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making life decisions autonomously, solely in accordance with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Article 18 of this Charter, including but not limited to the following persons who are not the Author (including natural persons and the natural persons of legal-person organizations), unless the Author’s life or subsistence is facing serious peril, or although not facing serious peril yet with the Author’s express oral or written agency authorization, whether on the basis of good faith or bad faith, have no power to make any decision for or on behalf of the Author; if they do so, the Author has the right to refuse and to inform them: (1) the Author’s father or mother; (2) any other close relative of the Author; (3) a teacher or other professional engaged by the Author; (4) a professional adviser who has a relationship with the Author on the basis of commercial or civil relations; (5) the Author’s doctor, when not in a perilous situation; (6) a person having a specific contractual relationship with the Author; (7) the Author’s subordinates; (8) the Author’s superiors (if any exist); (9) the Author’s spouse, partner or similar relation; (10) the Author’s friends, like-minded persons or persons of a similar nature; (11) a natural person within a legal-person organization with which the Author has dealings in work and life, or his representative; (12) other natural persons who are not the Author and are not listed above, or natural persons within a legal person.</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On the basis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making life decisions autonomously, solely in accordance with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this Charter, including but not limited to the following persons who are not the Author (including natural persons and the natural persons of legal-person organizations), unless the Author’s life or subsistence is facing serious peril, or although not facing peril yet with the Author’s express oral or written agency authorization, whether on the basis of good faith or bad faith, have no power to make any decision for or on behalf of the Author; if they do so, the Author has the right to refuse and to inform them: (1) the Author’s father or mother; (2) any other close relative of the Author; (3) a teacher or other professional engaged by the Author; (4) a professional adviser who has a relationship with the Author on the basis of commercial or civil relations; (5) the Author’s doctor (when not in a perilous situation); (6) a person having a specific contractual relationship with the Author; (7) the Author’s subordinates; (8) the Author’s superiors (if any exist); (9) …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reverse counterpart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26 — making clear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who has no power to decide for the Author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legislative purpose lies in dispelling, by enumeration, the myth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intimacy confers power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professionalism confers power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even parents, spouses, teachers and doctors, and contractual counterparts, may not overstep to decide on the Author’s behalf.</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identities enumerated in this article embrace all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kinship and trust relations that might otherwise decide on one’s behalf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Author’s life, and categorically deny their agency power, the boundary being only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peril + express authorization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This is the extreme expression of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self-determination above all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is a mutual footnote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one has the right to preach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33. Wherever historical expressions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subordinates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superiors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involved, they are understood in accordance with the express provision of the Charter’s terminology.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26, Article 29, Article 33.</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69"/>
    <w:bookmarkStart w:id="71" w:name="Xabae896010a47bba7d229e144c4edef07cd181d"/>
    <w:p>
      <w:pPr>
        <w:pStyle w:val="Heading3"/>
        <w:spacing w:after="120" w:line="312" w:lineRule="auto"/>
        <w:jc w:val="left"/>
      </w:pPr>
      <w:r>
        <w:rPr>
          <w:rFonts w:ascii="DejaVu Serif" w:hAnsi="DejaVu Serif" w:eastAsia="Noto Serif CJK SC"/>
          <w:color w:val="000000"/>
          <w:sz w:val="26"/>
        </w:rPr>
        <w:t xml:space="preserve">Article 31 【The Premise for Realizing the Final Goal of Life: Core-Asset Creation】</w:t>
      </w:r>
    </w:p>
    <w:p>
      <w:pPr>
        <w:pStyle w:val="FirstParagraph"/>
        <w:spacing w:after="120" w:line="312" w:lineRule="auto"/>
      </w:pPr>
      <w:r>
        <w:rPr>
          <w:rFonts w:ascii="DejaVu Serif" w:hAnsi="DejaVu Serif" w:eastAsia="Noto Serif CJK SC"/>
          <w:color w:val="000000"/>
          <w:sz w:val="22"/>
        </w:rPr>
        <w:t xml:space="preserve">The premise for realizing the final goal of life is to create core assets in the light of trends, social needs and personal strengths; the ways specifically include: (1) establishing one’s own company and making the business standardized and the operations automated; (2) purchasing shares of listed companies and obtaining the right to income; (3) purchasing the property-use right in high-value intellectual-property subject matter and obtaining the right to income; (4) purchasing the property-use right in high-value subject matter that may be re-leased at high value (for example, real-estate leasing is not permissible at present; whether the mandatory provisions of the laws of the People’s Republic of China, the relevant policy provisions and their orientation change subsequently should be closely monitored according to changes in the policy statements published through the official channels of the relevant political actors (official websites, documents, etc.)); (5) obtaining the property-income right in high-value subject matter that may be re-leased at high value (for example, real-estate leasing is not permissible at present; whether the mandatory provisions of the laws of the People’s Republic of China, the relevant policy provisions and their orientation change subsequently should be closely monitored according to changes in the policy statements published through the official channels of the relevant political actors (official websites, documents, etc.)).</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premise for realizing the final goal of life is to create core assets in the light of trends, social needs and personal strengths; the ways specifically include: (1) establishing one’s own company and making the business standardized and the operations automated; (2) purchasing shares of listed companies and obtaining the right to income; (3) purchasing the property-use right in high-value intellectual-property subject matter and obtaining the right to income; (4) purchasing the property-use right in high-value subject matter that may be re-leased at high value; (5) obtaining the property-income right in high-value subject matter that may be re-leased at high value;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lists the concrete paths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core-asset creation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as the implementation of the premise (the purpose of Article 20). Its five paths: a self-operated company (automation), stock investment, intellectual-property income, and the use right and income right of re-leasable subject matter. This dovetails with Article 21 【Passive-Income Instruments of the Final Goal】.</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essence of the paths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standardization and automation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(liberating the self)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passive income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21). Items (4) and (5),</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high-value subject matter that may be re-leased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require close attention to changes in the laws and policies of the People’s Republic of China (such as the policy on real-estate leasing), to be responded to dynamically in accordance with Article 125.</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20, Article 21, Article 57, Articles 100 to 103, Article 125.</w:t>
            </w:r>
          </w:p>
        </w:tc>
      </w:tr>
      <w:tr>
        <w:tc>
          <w:tcPr/>
          <w:p>
            <w:pPr>
              <w:pStyle w:val="Compact"/>
              <w:spacing w:after="40" w:line="288" w:lineRule="auto"/>
            </w:pPr>
          </w:p>
        </w:tc>
      </w:tr>
      <w:tr>
        <w:tc>
          <w:tcPr/>
          <w:p>
            <w:pPr>
              <w:pStyle w:val="Heading2"/>
              <w:spacing w:after="40" w:line="288" w:lineRule="auto"/>
              <w:jc w:val="left"/>
            </w:pPr>
            <w:bookmarkStart w:id="70" w:name="Xd0fe76be5042287d8779747de5c7774b0943269"/>
            <w:r>
              <w:rPr>
                <w:rFonts w:ascii="DejaVu Serif" w:hAnsi="DejaVu Serif" w:eastAsia="Noto Sans CJK SC"/>
                <w:color w:val="000000"/>
                <w:sz w:val="19"/>
              </w:rPr>
              <w:t xml:space="preserve">Volume Five — The Chapter on Core Principles of Action</w:t>
            </w:r>
            <w:bookmarkEnd w:id="70"/>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71"/>
    <w:bookmarkStart w:id="72" w:name="X24551bb95cd13cd379d0978459fe4138d382f48"/>
    <w:p>
      <w:pPr>
        <w:pStyle w:val="Heading3"/>
        <w:spacing w:after="120" w:line="312" w:lineRule="auto"/>
        <w:jc w:val="left"/>
      </w:pPr>
      <w:r>
        <w:rPr>
          <w:rFonts w:ascii="DejaVu Serif" w:hAnsi="DejaVu Serif" w:eastAsia="Noto Serif CJK SC"/>
          <w:color w:val="000000"/>
          <w:sz w:val="26"/>
        </w:rPr>
        <w:t xml:space="preserve">Article 32 【On the Construction of a Knowledge Structure and Cognitive Map】</w:t>
      </w:r>
    </w:p>
    <w:p>
      <w:pPr>
        <w:pStyle w:val="FirstParagraph"/>
        <w:spacing w:after="120" w:line="312" w:lineRule="auto"/>
      </w:pPr>
      <w:r>
        <w:rPr>
          <w:rFonts w:ascii="DejaVu Serif" w:hAnsi="DejaVu Serif" w:eastAsia="Noto Serif CJK SC"/>
          <w:color w:val="000000"/>
          <w:sz w:val="22"/>
        </w:rPr>
        <w:t xml:space="preserve">To selectively establish a systematic knowledge structure that takes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starting point of every thought, and to ensure its dynamism and openness.</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selectively establish a systematic knowledge structure that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starting point of every thought, and to ensure its dynamism and openness.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establishes the construction principle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knowledge structure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taking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starting point of thought, systematic yet dynamic and open. Taking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starting point means that all cognition reduces to human nature, the human heart and human relations (akin to Article 45 【The Final Principle of Attribution to the Person】 and Article 56 【The Essence of Gratitude】).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referential with Article 53 【Daily Habits】 (reading, writing, interdisciplinary learning), and is the outline of lifelong learning.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Dynamic and open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means anti-closure and anti-rigidity, consistent with Article 109 【A Growth Mindset】.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45, Article 52, Article 53, Article 109.</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72"/>
    <w:bookmarkStart w:id="73" w:name="Xd4cad5e6f994f8b99e710c930bd0fad9e1ec479"/>
    <w:p>
      <w:pPr>
        <w:pStyle w:val="Heading3"/>
        <w:spacing w:after="120" w:line="312" w:lineRule="auto"/>
        <w:jc w:val="left"/>
      </w:pPr>
      <w:r>
        <w:rPr>
          <w:rFonts w:ascii="DejaVu Serif" w:hAnsi="DejaVu Serif" w:eastAsia="Noto Serif CJK SC"/>
          <w:color w:val="000000"/>
          <w:sz w:val="26"/>
        </w:rPr>
        <w:t xml:space="preserve">Article 33 【The First Principle of Personal Values; the Principle of Maximum Self-Determination】</w:t>
      </w:r>
    </w:p>
    <w:p>
      <w:pPr>
        <w:pStyle w:val="FirstParagraph"/>
        <w:spacing w:after="120" w:line="312" w:lineRule="auto"/>
      </w:pPr>
      <w:r>
        <w:rPr>
          <w:rFonts w:ascii="DejaVu Serif" w:hAnsi="DejaVu Serif" w:eastAsia="Noto Serif CJK SC"/>
          <w:color w:val="000000"/>
          <w:sz w:val="22"/>
        </w:rPr>
        <w:t xml:space="preserve">On this earth, apart from myself, no one (including but not limited to parents, relatives and friends, authorities, experts) has the right to tell me in a preaching manner what I should do; my own inner system of values, together with the essence of all things, first-principles thinking, the essence of human nature and the like, are the ultimate basis and answer; if anyone wishes to tell me, then let them provide me with information and ideas in the form of suggestions, and let the final decision be made by me myself relying on my inner voice and values.</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On this earth, apart from myself, no one (including but not limited to parents, relatives and friends, authorities, experts) has the right to tell me in a preaching manner what I should do; my own inner system of values, together with the essence of all things, first-principles thinking, the essence of human nature and the like, are the ultimate basis and answer; if anyone wishes to tell me, then let them provide me with information and ideas in the form of suggestions, and let the final decision be made by me myself relying on my inner voice and values.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together with Articles 26 and 30, is the summit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trilogy of the right of 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it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first principle of personal values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meaning: no one has the right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preach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Author’s inner values and essentialist thinking are the ultimate basis; others may provide information only in the form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suggestions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distinction between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preaching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suggesting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eye of this article: a suggestion is an exchange on an equal footing, available for reference; preaching is an imposition from on high, to be refused. This article is akin to Article 25 【Case-by-Case Deliberation】, Article 35 【Equal Exchange】 and Article 112 【Prioritizing Praise】, together forming the Author’s outlook on dealings of being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autonomous yet not aloof</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25, Article 26, Article 30, Article 35, Article 112.</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73"/>
    <w:bookmarkStart w:id="74" w:name="X15b6e4e3c4d399be310e87138fd369f2429eed6"/>
    <w:p>
      <w:pPr>
        <w:pStyle w:val="Heading3"/>
        <w:spacing w:after="120" w:line="312" w:lineRule="auto"/>
        <w:jc w:val="left"/>
      </w:pPr>
      <w:r>
        <w:rPr>
          <w:rFonts w:ascii="DejaVu Serif" w:hAnsi="DejaVu Serif" w:eastAsia="Noto Serif CJK SC"/>
          <w:color w:val="000000"/>
          <w:sz w:val="26"/>
        </w:rPr>
        <w:t xml:space="preserve">Article 34 【The Principle of Not Assuming, Under Non-Fully-Voluntary Conditions, Extra Liability Beyond the Minimum Feasible Responsibility for Others】</w:t>
      </w:r>
    </w:p>
    <w:p>
      <w:pPr>
        <w:pStyle w:val="FirstParagraph"/>
        <w:spacing w:after="120" w:line="312" w:lineRule="auto"/>
      </w:pPr>
      <w:r>
        <w:rPr>
          <w:rFonts w:ascii="DejaVu Serif" w:hAnsi="DejaVu Serif" w:eastAsia="Noto Serif CJK SC"/>
          <w:color w:val="000000"/>
          <w:sz w:val="22"/>
        </w:rPr>
        <w:t xml:space="preserve">At any time, under conditions not fully voluntary on the Author’s part, except for statutory liability, or on the basis of commercial relations or express contractual relations, the Author is not obliged to solve any problem for any person.</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any time, under conditions not fully voluntary on the Author’s part, except for statutory liability, or on the basis of commercial relations or express contractual relations, the Author is not obliged to solve any problem for any person.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voluntariness of liability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if not voluntary, one bears no extra liability; only statutory, commercial and express-contractual matters are exceptions. This is interlinked with Article 84 【Providing Services upon Invitation】 and Article 113 【The Principle of Acting from a Willing Heart】.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draws the boundary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guarding against moral kidnapping and unrestrained demands. Together with Article 110 【The Right to Withdraw from Endorsing Moral Views】 and Article 114 【Payment-Based Screening】, it is a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self-boundary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84, Article 85, Article 110, Article 113, Article 114.</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74"/>
    <w:bookmarkStart w:id="75" w:name="X06fa3653a8198fd55a9aa832c3d329ceb7497b8"/>
    <w:p>
      <w:pPr>
        <w:pStyle w:val="Heading3"/>
        <w:spacing w:after="120" w:line="312" w:lineRule="auto"/>
        <w:jc w:val="left"/>
      </w:pPr>
      <w:r>
        <w:rPr>
          <w:rFonts w:ascii="DejaVu Serif" w:hAnsi="DejaVu Serif" w:eastAsia="Noto Serif CJK SC"/>
          <w:color w:val="000000"/>
          <w:sz w:val="26"/>
        </w:rPr>
        <w:t xml:space="preserve">Article 35 【The Principle That All Matters Involve Equality of Personality and Exchange Based on Law and Contract】</w:t>
      </w:r>
    </w:p>
    <w:p>
      <w:pPr>
        <w:pStyle w:val="FirstParagraph"/>
        <w:spacing w:after="120" w:line="312" w:lineRule="auto"/>
      </w:pPr>
      <w:r>
        <w:rPr>
          <w:rFonts w:ascii="DejaVu Serif" w:hAnsi="DejaVu Serif" w:eastAsia="Noto Serif CJK SC"/>
          <w:color w:val="000000"/>
          <w:sz w:val="22"/>
        </w:rPr>
        <w:t xml:space="preserve">Whenever talking with anyone, the following principle should be considered, namely the principle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all matters are equal exchanges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With a negotiating mentality — with a negotiating mentality — where consensus can be reached, continue; where consensus cannot be reached, replace the counterpart (treating the counterpart as the other party to the negotiation) or take the next step; there is no need (no necessity whatever) for any sentimental emotion; every interpersonal activity between human beings, whatever the other party says, does or however they respond, may be treated as an exchange based on currently effective law and contract, under conditionalism, and based on human wishes and interests.</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Whenever talking with anyone, the following principle should be considered, namely the principle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matters are equal exchanges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With a negotiating mentality, where consensus can be reached, continue; where consensus cannot be reached, replace the counterpart, treating them as the other party to the negotiation, or take the next step; there is no need for any sentimental emotion; every interpersonal activity between human beings, whatever the other party says, does or however they respond, may be treated as an exchange based on currently effective law and contract, under conditionalism, and based on human wishes and interests.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establishes the principle of dealings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equal exchange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confronting interpersonal activities with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negotiating mentality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where consensus is reached, proceed; where not, replace, without mixing in emotion. This is in the same lineage as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transactional essentialism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24, and is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governing relations with reason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Equality of personality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exchange of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mentioned together: equality in personality (akin to Articles 44 and 99) and exchange in interests (akin to Articles 35 and 73).</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need for sentimental emotion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not heartlessness, but not being enslaved by emotion and retaining the freedom of rational choice.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24, Article 44, Article 73, Article 99.</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75"/>
    <w:bookmarkStart w:id="76" w:name="Xc6a9986bb18c1a0ca47ce67d02e4aa7768ee63e"/>
    <w:p>
      <w:pPr>
        <w:pStyle w:val="Heading3"/>
        <w:spacing w:after="120" w:line="312" w:lineRule="auto"/>
        <w:jc w:val="left"/>
      </w:pPr>
      <w:r>
        <w:rPr>
          <w:rFonts w:ascii="DejaVu Serif" w:hAnsi="DejaVu Serif" w:eastAsia="Noto Serif CJK SC"/>
          <w:color w:val="000000"/>
          <w:sz w:val="26"/>
        </w:rPr>
        <w:t xml:space="preserve">Article 36 【Mandatory Requirements Concerning Marriage and the Counterparty to Marriage】</w:t>
      </w:r>
    </w:p>
    <w:p>
      <w:pPr>
        <w:pStyle w:val="FirstParagraph"/>
        <w:spacing w:after="120" w:line="312" w:lineRule="auto"/>
      </w:pPr>
      <w:r>
        <w:rPr>
          <w:rFonts w:ascii="DejaVu Serif" w:hAnsi="DejaVu Serif" w:eastAsia="Noto Serif CJK SC"/>
          <w:color w:val="000000"/>
          <w:sz w:val="22"/>
        </w:rPr>
        <w:t xml:space="preserve">As to marriage and the like, the Author holds an attitude that one may marry or may not marry; but there is one principle, namely that marriage absolutely may not interfere with the way of life described in the preceding article that the Author has chosen, and may not dominate, interfere with, cut off or force the Author to change the above way of life, and may not distribute any property other than the minimum feasible property provided by law and the property to which the Author consents.</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to marriage and the like, the Author holds an attitude that one may marry or may not marry; but there is one principle, namely that marriage absolutely may not interfere with the way of life described in the preceding article that the Author has chosen, and may not dominate, interfere with, cut off or force the Author to change the above way of life, and may not distribute any property other than the minimum feasible property provided by law and the property to which the Author consents.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charter condition of marriage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marriage may not interfere with the Author’s way of life (sojourning venture capital, freedom and independence), and may not dominate the Author’s property. This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non-encroachment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marriage.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together with Article 37 【Non-Conformity Means Living Alone】, Article 104 【The Essence of Marriage】 and Article 105 【Ranking of Aspirations】, forms the Author’s view of marriage: marriage is not indispensable, and must be subordinated to the Author’s fundamental freedom. This echoes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concluding a legal marriage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Annex A.04.001 (that principle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for exceptions see that annex).</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is referential with the provisions of the Amendment 20240609 (Articles 121 to 123) on the boyfriend-girlfriend relationship; see Part Two for details.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37, Article 104, Article 105, Annex A.04.001, Amendment 20240609.</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76"/>
    <w:bookmarkStart w:id="77" w:name="Xf492bad0c079572cb56daedca830ca6b5c5cc20"/>
    <w:p>
      <w:pPr>
        <w:pStyle w:val="Heading3"/>
        <w:spacing w:after="120" w:line="312" w:lineRule="auto"/>
        <w:jc w:val="left"/>
      </w:pPr>
      <w:r>
        <w:rPr>
          <w:rFonts w:ascii="DejaVu Serif" w:hAnsi="DejaVu Serif" w:eastAsia="Noto Serif CJK SC"/>
          <w:color w:val="000000"/>
          <w:sz w:val="26"/>
        </w:rPr>
        <w:t xml:space="preserve">Article 37 【Handling of a Marriage Counterparty Who Fails to Meet the Mandatory Requirements】</w:t>
      </w:r>
    </w:p>
    <w:p>
      <w:pPr>
        <w:pStyle w:val="FirstParagraph"/>
        <w:spacing w:after="120" w:line="312" w:lineRule="auto"/>
      </w:pPr>
      <w:r>
        <w:rPr>
          <w:rFonts w:ascii="DejaVu Serif" w:hAnsi="DejaVu Serif" w:eastAsia="Noto Serif CJK SC"/>
          <w:color w:val="000000"/>
          <w:sz w:val="22"/>
        </w:rPr>
        <w:t xml:space="preserve">If the above-described conditions cannot be matched, the Author intends to live alone by himself, and will absolutely not conclude any marriage or form any family.</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the above-described conditions cannot be matched, the Author intends to live alone by himself, and will absolutely not conclude any marriage or form any family.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carries on the preceding one, making clear the resolve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rather live alone than settle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if the counterpart does not meet the conditions, then rather than be single, absolutely not to conclude a marriage reluctantly.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manifests the Author’s value orientation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freedom above form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marriage and family are optional items, not mandatory ones. It supports one another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concluding a legal marriage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among the five core lifestyle principles of Annex A.04.001.</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36, Article 104, Article 105, Annex A.04.001.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77"/>
    <w:bookmarkStart w:id="78" w:name="X38d4afecca669e31147e5d54806baf5797cef7d"/>
    <w:p>
      <w:pPr>
        <w:pStyle w:val="Heading3"/>
        <w:spacing w:after="120" w:line="312" w:lineRule="auto"/>
        <w:jc w:val="left"/>
      </w:pPr>
      <w:r>
        <w:rPr>
          <w:rFonts w:ascii="DejaVu Serif" w:hAnsi="DejaVu Serif" w:eastAsia="Noto Serif CJK SC"/>
          <w:color w:val="000000"/>
          <w:sz w:val="26"/>
        </w:rPr>
        <w:t xml:space="preserve">Article 38 【The Need for a Sense of Control over Specific Life Situations】</w:t>
      </w:r>
    </w:p>
    <w:p>
      <w:pPr>
        <w:pStyle w:val="FirstParagraph"/>
        <w:spacing w:after="120" w:line="312" w:lineRule="auto"/>
      </w:pPr>
      <w:r>
        <w:rPr>
          <w:rFonts w:ascii="DejaVu Serif" w:hAnsi="DejaVu Serif" w:eastAsia="Noto Serif CJK SC"/>
          <w:color w:val="000000"/>
          <w:sz w:val="22"/>
        </w:rPr>
        <w:t xml:space="preserve">The Author’s need for a sense of control over himself and over the specific parts of the life situations that he needs to be involved in is especially strong.</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3"/>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need for a sense of control over himself and over the specific parts of the life situations that he needs to be involved in is especially strong.</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affirms the Author’s intense need for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sense of control over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which is the psychological root of many controlling and boundary-setting provisions.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need for a sense of control points to the mastery of one’s own time, space, relations and assets. This, together with Article 8-3 (financial red lines), Article 22 (autonomy of sojourning) and Article 39 (choice of associates), constitutes the psychological foundation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autonomous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22, Article 39, Article 47, Annex A.04.001.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78"/>
    <w:bookmarkStart w:id="79" w:name="X6735d522f206ed154df18a80e8fa1ab42cfa769"/>
    <w:p>
      <w:pPr>
        <w:pStyle w:val="Heading3"/>
        <w:spacing w:after="120" w:line="312" w:lineRule="auto"/>
        <w:jc w:val="left"/>
      </w:pPr>
      <w:r>
        <w:rPr>
          <w:rFonts w:ascii="DejaVu Serif" w:hAnsi="DejaVu Serif" w:eastAsia="Noto Serif CJK SC"/>
          <w:color w:val="000000"/>
          <w:sz w:val="26"/>
        </w:rPr>
        <w:t xml:space="preserve">Article 39 【The Principle of Not Associating or Negotiating with a Counterparty Who Consumes Alcoholic Beverages】</w:t>
      </w:r>
    </w:p>
    <w:p>
      <w:pPr>
        <w:pStyle w:val="FirstParagraph"/>
        <w:spacing w:after="120" w:line="312" w:lineRule="auto"/>
      </w:pPr>
      <w:r>
        <w:rPr>
          <w:rFonts w:ascii="DejaVu Serif" w:hAnsi="DejaVu Serif" w:eastAsia="Noto Serif CJK SC"/>
          <w:color w:val="000000"/>
          <w:sz w:val="22"/>
        </w:rPr>
        <w:t xml:space="preserve">In the Author’s commercial negotiations with other counterparts, the drinks taken must be non-alcoholic beverages such as tea or coffee; in principle, the Author refuses to have any dealings with persons who smoke or drink, or to conduct any kind of negotiation involving any subject matter, whatever bargaining chips the other party may hold, or however urgently the Author may need it.</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9"/>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Author’s commercial negotiations with other counterparts, the drinks taken must be non-alcoholic beverages such as tea or coffee; in principle, the Author refuses to have any dealings with persons who smoke or drink, or to conduct any kind of negotiation involving any subject matter, whatever bargaining chips the other party may hold, or however urgently the Author may need it.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fastidiousness in choosing associates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negotiation must use tea or coffee in place of alcohol, and in principle there is no dealing or negotiating with smokers and drinkers; even if they hold chips, and even if the Author urgently needs it, he will not waver.</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strictness of this article lies in the two words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exchanging self-discipline in lifestyle for clarity of mind and purity of dealings, in conformity with Article 115 【The Principle of Independence】.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40, Article 115, Article 116.</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79"/>
    <w:bookmarkStart w:id="80" w:name="Xd26edaacbb3bb650ea2501a1568430ab7cfcdec"/>
    <w:p>
      <w:pPr>
        <w:pStyle w:val="Heading3"/>
        <w:spacing w:after="120" w:line="312" w:lineRule="auto"/>
        <w:jc w:val="left"/>
      </w:pPr>
      <w:r>
        <w:rPr>
          <w:rFonts w:ascii="DejaVu Serif" w:hAnsi="DejaVu Serif" w:eastAsia="Noto Serif CJK SC"/>
          <w:color w:val="000000"/>
          <w:sz w:val="26"/>
        </w:rPr>
        <w:t xml:space="preserve">Article 40 【Exemptions from the Principle of Not Associating or Negotiating with a Counterparty Who Consumes Alcoholic Beverages】</w:t>
      </w:r>
    </w:p>
    <w:p>
      <w:pPr>
        <w:pStyle w:val="FirstParagraph"/>
        <w:spacing w:after="120" w:line="312" w:lineRule="auto"/>
      </w:pPr>
      <w:r>
        <w:rPr>
          <w:rFonts w:ascii="DejaVu Serif" w:hAnsi="DejaVu Serif" w:eastAsia="Noto Serif CJK SC"/>
          <w:color w:val="000000"/>
          <w:sz w:val="22"/>
        </w:rPr>
        <w:t xml:space="preserve">However, this does not apply, and the matter is not within the above, if any of the following circumstances exists: (1) where the aforesaid person is a good-faith counterpart and does not force one to do what is difficult, and does not demand by violence, coercion or similar coercive ways or means that the Author drink or smoke; (2) where the Author’s life, person or health is under a serious realistic threat from the Author himself or from the outside world.</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However, this does not apply if any of the following circumstances exists: (1) where the aforesaid person is a good-faith counterpart and does not force one to do what is difficult, and does not demand by violence, coercion or similar coercive ways or means that the Author drink or smoke; (2) where the Author’s life, person or health is under a serious realistic threat from the Author himself or from the outside world.</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sets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double exception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the preceding article — the good-faith person who does not compel, and the case endangering life or health. It shows that within the principle there is flexibility, and within the flexibility there is measure.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Item (1) turns 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compelling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item (2) on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danger to life and health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both manifest the Author’s wisdom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first, discretion with measure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39, Article 49.</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80"/>
    <w:bookmarkStart w:id="81" w:name="article-41-the-ultimate-essence-of-death"/>
    <w:p>
      <w:pPr>
        <w:pStyle w:val="Heading3"/>
        <w:spacing w:after="120" w:line="312" w:lineRule="auto"/>
        <w:jc w:val="left"/>
      </w:pPr>
      <w:r>
        <w:rPr>
          <w:rFonts w:ascii="DejaVu Serif" w:hAnsi="DejaVu Serif" w:eastAsia="Noto Serif CJK SC"/>
          <w:color w:val="000000"/>
          <w:sz w:val="26"/>
        </w:rPr>
        <w:t xml:space="preserve">Article 41 【The Ultimate Essence of Death】</w:t>
      </w:r>
    </w:p>
    <w:p>
      <w:pPr>
        <w:pStyle w:val="FirstParagraph"/>
        <w:spacing w:after="120" w:line="312" w:lineRule="auto"/>
      </w:pPr>
      <w:r>
        <w:rPr>
          <w:rFonts w:ascii="DejaVu Serif" w:hAnsi="DejaVu Serif" w:eastAsia="Noto Serif CJK SC"/>
          <w:color w:val="000000"/>
          <w:sz w:val="22"/>
        </w:rPr>
        <w:t xml:space="preserve">For the ultimate essence of death is the physiological state in which the person undergoing the state of death (the deceased himself) no longer exists on the earth and can no longer continuously exert influence upon the persons, matters and objects on the earth.</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the ultimate essence of death is the physiological state in which the person undergoing the state of death (the deceased himself) no longer exists on the earth and can no longer continuously exert influence upon the persons, matters and objects on the earth.</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Taking an essentialist perspective,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death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state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longer existing and unable to exert influence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laying the cognitive foundation for the subsequent articles (the fear of death, inheritance, bequests).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By clarifying the essence of death, one knows that the essence of life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exerting influence and fulfilling wishes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(akin to Article 42); this is the psychological fountainhead of the notions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inheritance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Financial Ark</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42, Article 106 【Wills and Bequests】, Article 21.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81"/>
    <w:bookmarkStart w:id="82" w:name="X2d3dcc11e95bc49220791c2c71bd6b0b5c46593"/>
    <w:p>
      <w:pPr>
        <w:pStyle w:val="Heading3"/>
        <w:spacing w:after="120" w:line="312" w:lineRule="auto"/>
        <w:jc w:val="left"/>
      </w:pPr>
      <w:r>
        <w:rPr>
          <w:rFonts w:ascii="DejaVu Serif" w:hAnsi="DejaVu Serif" w:eastAsia="Noto Serif CJK SC"/>
          <w:color w:val="000000"/>
          <w:sz w:val="26"/>
        </w:rPr>
        <w:t xml:space="preserve">Article 42 【The Essence of the Fear of Death】</w:t>
      </w:r>
    </w:p>
    <w:p>
      <w:pPr>
        <w:pStyle w:val="FirstParagraph"/>
        <w:spacing w:after="120" w:line="312" w:lineRule="auto"/>
      </w:pPr>
      <w:r>
        <w:rPr>
          <w:rFonts w:ascii="DejaVu Serif" w:hAnsi="DejaVu Serif" w:eastAsia="Noto Serif CJK SC"/>
          <w:color w:val="000000"/>
          <w:sz w:val="22"/>
        </w:rPr>
        <w:t xml:space="preserve">A person who fears death is in essence fearing that the things he wishes to do are not finished before he no longer exists on the earth and can no longer continuously exert influence upon the persons, matters and objects on the earth to complete all his major wishes — a physical and mental state.</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 person who fears death is in essence fearing that the things he wishes to do are not finished before he no longer exists on the earth and can no longer continuously exert influence upon the persons, matters and objects on the earth to complete all his major wishes — a physical and mental state.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dissects the essence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fear of death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fear that wishes remain unfulfilled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showing that the Author’s life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completing tasks and fulfilling wishes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method of mastering fear.</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Carrying on Article 41, this article turns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fear of death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driving force of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clearer the wishes, the lighter the fear. This is consistent with the spirit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continuous altruism, continuous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Articles 1 to 100.</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41, Article 1-2, Article 62 【The Macro Periods of Life】.</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82"/>
    <w:bookmarkStart w:id="83" w:name="X336086944c61158ab323c3581ce0c34c9bfdb45"/>
    <w:p>
      <w:pPr>
        <w:pStyle w:val="Heading3"/>
        <w:spacing w:after="120" w:line="312" w:lineRule="auto"/>
        <w:jc w:val="left"/>
      </w:pPr>
      <w:r>
        <w:rPr>
          <w:rFonts w:ascii="DejaVu Serif" w:hAnsi="DejaVu Serif" w:eastAsia="Noto Serif CJK SC"/>
          <w:color w:val="000000"/>
          <w:sz w:val="26"/>
        </w:rPr>
        <w:t xml:space="preserve">Article 43 【Construction of a Worldview from the Perspective of the Cosmic Citizen and the Cosmic-Civilization Community with a Shared Future】</w:t>
      </w:r>
    </w:p>
    <w:p>
      <w:pPr>
        <w:pStyle w:val="FirstParagraph"/>
        <w:spacing w:after="120" w:line="312" w:lineRule="auto"/>
      </w:pPr>
      <w:r>
        <w:rPr>
          <w:rFonts w:ascii="DejaVu Serif" w:hAnsi="DejaVu Serif" w:eastAsia="Noto Serif CJK SC"/>
          <w:color w:val="000000"/>
          <w:sz w:val="22"/>
        </w:rPr>
        <w:t xml:space="preserve">All activities of this world are carried out around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persons engaging in the various activities form circle after circle, specifically including political-circle persons (scholars), economic-circle persons (scholars), cultural-circle persons (scholars) and science-and-technology-circle persons (scholars), specifically including: (1) philosophy persons (scholars);</w:t>
      </w:r>
    </w:p>
    <w:p>
      <w:pPr>
        <w:pStyle w:val="Compact"/>
        <w:numPr>
          <w:ilvl w:val="0"/>
          <w:numId w:val="1013"/>
        </w:numPr>
        <w:spacing w:after="120" w:line="312" w:lineRule="auto"/>
      </w:pPr>
      <w:r>
        <w:rPr>
          <w:rFonts w:ascii="DejaVu Serif" w:hAnsi="DejaVu Serif" w:eastAsia="Noto Serif CJK SC"/>
          <w:color w:val="000000"/>
          <w:sz w:val="22"/>
        </w:rPr>
        <w:t xml:space="preserve">economics persons (scholars); (3) law persons (scholars); (4) education persons (scholars) 【persons of the education world】; (5) language-and-literature persons (scholars) 【persons of the language-and-literature world】; (6) history persons (scholars) 【persons of the history world】; (7) science persons (scholars) 【persons of the science world】; (8) engineering persons (scholars) / engineering persons (scholars); (9) agriculture persons (scholars); (10) medicine persons (scholars); (11) military persons (scholars) 【persons of the military world】; (12) business persons (scholars) 【persons of the business-operation world】; (13) art persons (scholars) 【persons of the art world】; (14) interdisciplinary persons (scholars) 【cross-boundary persons】; (15) disciplinary-innovation persons (scholars) 【pioneers of disciplines】</w:t>
      </w:r>
    </w:p>
    <w:p>
      <w:pPr>
        <w:pStyle w:val="FirstParagraph"/>
        <w:spacing w:after="120" w:line="312" w:lineRule="auto"/>
      </w:pPr>
      <w:r>
        <w:rPr>
          <w:rFonts w:ascii="DejaVu Serif" w:hAnsi="DejaVu Serif" w:eastAsia="Noto Serif CJK SC"/>
          <w:color w:val="000000"/>
          <w:sz w:val="22"/>
        </w:rPr>
        <w:t xml:space="preserve">Whatever activities are analyzed, they are all unfolded along the dimension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specific dimensions of analysis are as follows: paragraph 1. The person: Item 1 the common dream of the individual and human society; Item 2 the consensus and wishes of the individual and human society (or a part thereof); Item 3 the individual’s mission, vision and values; Item 4 the individual’s dream and ideals; Item 5 the individual’s planning; Item 6 the individual’s knowledge structure and the discipline principles mastered (the planning and borrowing of principled and patterned models of thought); Item 7 the individual’s methodological system (techniques, methods, processes, steps, evaluation dimensions, judging indicators, etc.); Item 8 the instruments the individual possesses and can integrate (tangible and intangible resources such as people, finance and things); Item 9 the Author’s mindset and state of mind; Item 10 the Author’s executive power, intensity of action motivation, etc.; Item 11 the feedback of the results of action; Item 12 the review and subjective feelings of the ideal thinking on the above 11 items; paragraph 2. External things: Item 1 others besides oneself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instrumental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human resources, etc.); Item 2 property (currency, various assets, various property rights); Item 3 things (various tangible and intangible things): ①. events and the Author’s reactions to those events (A person and B person, etc., at time xx, in place xx, in manner xx, for purpose xx, did matters xx, xx, xx, xx, xx, and obtained the result feedback xx); Item 4 resources: ①. including tangible resources; ②. intangible assets: a. individual attention; b. high-quality energy; c. time; d. IPRs; e. sociality; f. political rights; g. property-exclusive rights, etc.</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All activities of this world are carried out around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persons engaging in the various activities form circle after circle, specifically including political-circle persons (scholars), economic-circle persons (scholars), cultural-circle persons (scholars) and science-and-technology-circle persons (scholars), specifically including: (1) philosophy persons (scholars) … (ten-odd categories in all, including economics, law, education, language and literature, history, science, engineering, agriculture, medicine, military, business, art, interdisciplinary persons, etc.;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Taking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circle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key, this article constructs the Author’s worldview — the world is composed of the circles of various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persons (scholars)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among which the Author moves. This is the concretization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citizen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vision.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Taking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pivot of the world is in the same lineage as Article 32,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the person as the starting point of thought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Article 44,</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is done by 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This article is the cognitive map of the Author’s dealings and undertakings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cross-boundary and cross-circle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mode.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32, Article 44, Article 52.</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83"/>
    <w:bookmarkStart w:id="84" w:name="X6869a22cef4c8f2f6df7acdccf0fad4f58e518a"/>
    <w:p>
      <w:pPr>
        <w:pStyle w:val="Heading3"/>
        <w:spacing w:after="120" w:line="312" w:lineRule="auto"/>
        <w:jc w:val="left"/>
      </w:pPr>
      <w:r>
        <w:rPr>
          <w:rFonts w:ascii="DejaVu Serif" w:hAnsi="DejaVu Serif" w:eastAsia="Noto Serif CJK SC"/>
          <w:color w:val="000000"/>
          <w:sz w:val="26"/>
        </w:rPr>
        <w:t xml:space="preserve">Article 44 【The Sameness of Human Personality in Essence and the Difference of Division of Labor, and Their Consideration】</w:t>
      </w:r>
    </w:p>
    <w:p>
      <w:pPr>
        <w:pStyle w:val="FirstParagraph"/>
        <w:spacing w:after="120" w:line="312" w:lineRule="auto"/>
      </w:pPr>
      <w:r>
        <w:rPr>
          <w:rFonts w:ascii="DejaVu Serif" w:hAnsi="DejaVu Serif" w:eastAsia="Noto Serif CJK SC"/>
          <w:color w:val="000000"/>
          <w:sz w:val="22"/>
        </w:rPr>
        <w:t xml:space="preserve">All activities of human society are done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persons (natural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whatever their identity and whatever labels may attach to them; but as to their social value, different divisions of labor and identities correspond to different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social stereotyped prices/values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(e.g., entrepreneurs have a relatively high social consideration, while drivers, nurses, etc. have a relatively low social consideration); and the most essential point of difference between persons of different identities lies in the difference in their modes of thinking (ideology), which produces the fundamental difference in life resulting from different ways of conduct, life patterns and life choices — a person who changes his mode of thinking will ultimately change his life.</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All activities of human society are done by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persons (natural 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whatever their identity and whatever labels may attach to them; but as to their social value, different divisions of labor and identities correspond to different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social stereotyped prices/values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(e.g., entrepreneurs have a relatively high social consideration, while drivers, nurses, etc. have a relatively low social consideration); and the most essential point of difference between persons of different identities lies in the difference in their modes of thinking (ideology), which produces the fundamental difference in life resulting from different ways of conduct, life patterns and life choices — a person who changes his mode of thinking will ultimately change his life.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duality of the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same in personality, different in division of labor. In personality all are equal; in social consideration they differ according to division of labor; and what determines the fundamental difference in life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mode of thinking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This is the philosophical basis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growth mindset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109).</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essence of this article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changing one’s mode of thinking means changing one’s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it endows persons with the hope of change, akin to Article 108 【Bug Iteration】 and Article 109 【Growth Thinking】. Wherever expressions concern professional consideration, they are objective descriptions and involve no disparagement of any industry (to be read together with Article 99 【Treating Others with an Equal Attitude】).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99, Article 108, Article 109, Article 115.</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84"/>
    <w:bookmarkStart w:id="85" w:name="X76dac487e0a05510f9fe8762fbeef2b454891b5"/>
    <w:p>
      <w:pPr>
        <w:pStyle w:val="Heading3"/>
        <w:spacing w:after="120" w:line="312" w:lineRule="auto"/>
        <w:jc w:val="left"/>
      </w:pPr>
      <w:r>
        <w:rPr>
          <w:rFonts w:ascii="DejaVu Serif" w:hAnsi="DejaVu Serif" w:eastAsia="Noto Serif CJK SC"/>
          <w:color w:val="000000"/>
          <w:sz w:val="26"/>
        </w:rPr>
        <w:t xml:space="preserve">Article 45 【The Final Principle of Attribution to the Person】</w:t>
      </w:r>
    </w:p>
    <w:p>
      <w:pPr>
        <w:pStyle w:val="FirstParagraph"/>
        <w:spacing w:after="120" w:line="312" w:lineRule="auto"/>
      </w:pPr>
      <w:r>
        <w:rPr>
          <w:rFonts w:ascii="DejaVu Serif" w:hAnsi="DejaVu Serif" w:eastAsia="Noto Serif CJK SC"/>
          <w:color w:val="000000"/>
          <w:sz w:val="22"/>
        </w:rPr>
        <w:t xml:space="preserve">The Author’s analysis of the cause of any event should ultimately reduce to the dimension of the person and of human hearts and interests; otherwise it is a non-essential cause, and one must continue to inquire into it.</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analysis of the cause of any event should ultimately reduce to the dimension of the person and of human hearts and interests; otherwise it is a non-essential cause, and one must continue to inquire into it.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methodology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attribution to the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whenever analyzing causes, one must trace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person and human hearts and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reach the essence; otherwise one continues to inquire. This is the operating rule of essentialism.</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32 【Taking the Person as the Starting Point】, Article 60 【The Essence of Cyclical Return】 and Article 119 【Reviewing to First-Principles Essence】; it is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seeing through to the essence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32, Article 60, Article 119.</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85"/>
    <w:bookmarkStart w:id="86" w:name="article-46-on-credit-and-counter-credit"/>
    <w:p>
      <w:pPr>
        <w:pStyle w:val="Heading3"/>
        <w:spacing w:after="120" w:line="312" w:lineRule="auto"/>
        <w:jc w:val="left"/>
      </w:pPr>
      <w:r>
        <w:rPr>
          <w:rFonts w:ascii="DejaVu Serif" w:hAnsi="DejaVu Serif" w:eastAsia="Noto Serif CJK SC"/>
          <w:color w:val="000000"/>
          <w:sz w:val="26"/>
        </w:rPr>
        <w:t xml:space="preserve">Article 46 【On Credit and Counter-Credit】</w:t>
      </w:r>
    </w:p>
    <w:p>
      <w:pPr>
        <w:pStyle w:val="FirstParagraph"/>
        <w:spacing w:after="120" w:line="312" w:lineRule="auto"/>
      </w:pPr>
      <w:r>
        <w:rPr>
          <w:rFonts w:ascii="DejaVu Serif" w:hAnsi="DejaVu Serif" w:eastAsia="Noto Serif CJK SC"/>
          <w:color w:val="000000"/>
          <w:sz w:val="22"/>
        </w:rPr>
        <w:t xml:space="preserve">Because the leaders of any organization in any country or region on earth are in essence persons, even the so-called head of state himself: so long as he is a person, at any moment he may be in a state of telling the truth (honesty and good faith) or telling lies (deception); hence the so-called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does not in fact exist in the physical world, but is only a subject matter existing in people’s ideas and inner emotions; and at any moment it too may be in a state of telling the truth (honesty and good faith) or telling lies (deception); hence, at all times one should (in principle to the greatest extent) be unconditionally self-confident, but should, on the basis of believing the counterpart in principle, conduct a dialectical reverse review and believe any other counterpart cautiously, yet in principle also not be subjectively and completely distrustful, and ultimately take the criminal law (the upper limit), policy and actual circumstances as the criterion.</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Because the leaders of any organization in any country or region on earth are in essence persons … so long as he is a person, at any moment he may be in a state of telling the truth (honesty and good faith) or telling lies (deception); hence the so-called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does not in fact exist in the physical world, but is only a subject matter existing in people’s ideas and inner emotions … hence, at all times one should (in principle to the greatest extent) be unconditionally self-confident, but should, on the basis of believing the counterpart in principle, conduct a dialectical reverse review and believe any other counterpart cautiously, yet in principle also not be subjectively and completely distrustful, and ultimately take the criminal law (the upper limit), policy and actual circumstances as the criterion.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dialectic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credit and counter-credit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unconditional self-confidence toward oneself,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believe yet review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toward others. Neither wholly believing nor wholly doubting, taking facts and law as the criterion.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dialectical reverse review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method of dealings: believe first, then investigate; neither credulously deceived, nor suspicious of everything.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state is a thing of ideas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echoes Article 7 and Article 93 【The Essence of Patriotism】, jointly forming the Author’s worldview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dispelling illusions and valuing substance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40, Article 75, Article 93.</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86"/>
    <w:bookmarkStart w:id="87" w:name="X3b246fa756fcda3c16af75abaaf4bdfe4c511ea"/>
    <w:p>
      <w:pPr>
        <w:pStyle w:val="Heading3"/>
        <w:spacing w:after="120" w:line="312" w:lineRule="auto"/>
        <w:jc w:val="left"/>
      </w:pPr>
      <w:r>
        <w:rPr>
          <w:rFonts w:ascii="DejaVu Serif" w:hAnsi="DejaVu Serif" w:eastAsia="Noto Serif CJK SC"/>
          <w:color w:val="000000"/>
          <w:sz w:val="26"/>
        </w:rPr>
        <w:t xml:space="preserve">Article 47 【Coordination of</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Ideal-Type Stereotypes</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in Human Society】</w:t>
      </w:r>
    </w:p>
    <w:p>
      <w:pPr>
        <w:pStyle w:val="FirstParagraph"/>
        <w:spacing w:after="120" w:line="312" w:lineRule="auto"/>
      </w:pPr>
      <w:r>
        <w:rPr>
          <w:rFonts w:ascii="DejaVu Serif" w:hAnsi="DejaVu Serif" w:eastAsia="Noto Serif CJK SC"/>
          <w:color w:val="000000"/>
          <w:sz w:val="22"/>
        </w:rPr>
        <w:t xml:space="preserve">For persons with specific identities, such as entrepreneurs, financial bankers, investors, politicians and presenters, the public often has social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ideal-type stereotypes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in this regard, in public settings one should be perceptive of and take account of them, but need not concern oneself with public evaluation; one should coordinate well the public relations of expression management, emotion management, expectation management, state-of-mind management, appearance management and interest management with the values of personal freedom.</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persons with specific identities, such as entrepreneurs, financial bankers, investors, politicians and presenters, the public often has social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ideal-type stereotypes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in this regard, in public settings one should be perceptive of and take account of them, but need not concern oneself with public evaluation; one should coordinate well the public relations of expression management, emotion management, expectation management, state-of-mind management, appearance management and interest management with the values of personal freedom.</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coordination of public image and personal freedom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be perceptive of public expectations, use whatever is beneficial, yet not be trapped by evaluation.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stances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management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juxtaposed, showing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governing image with reason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using the instrument of public relations to protect the substance of personal freedom. It is akin to Article 17 【The Public Nature of the Relative Baseline】 and Article 99 【Treating Others with an Equal Attitude】.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17, Article 38, Article 99.</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87"/>
    <w:bookmarkStart w:id="88" w:name="X8d1f5bfd65452327de9966b32895c224b927495"/>
    <w:p>
      <w:pPr>
        <w:pStyle w:val="Heading3"/>
        <w:spacing w:after="120" w:line="312" w:lineRule="auto"/>
        <w:jc w:val="left"/>
      </w:pPr>
      <w:r>
        <w:rPr>
          <w:rFonts w:ascii="DejaVu Serif" w:hAnsi="DejaVu Serif" w:eastAsia="Noto Serif CJK SC"/>
          <w:color w:val="000000"/>
          <w:sz w:val="26"/>
        </w:rPr>
        <w:t xml:space="preserve">Article 48 【Reference Measures for the Establishment, Operation and Management of a Company】</w:t>
      </w:r>
    </w:p>
    <w:p>
      <w:pPr>
        <w:pStyle w:val="FirstParagraph"/>
        <w:spacing w:after="120" w:line="312" w:lineRule="auto"/>
      </w:pPr>
      <w:r>
        <w:rPr>
          <w:rFonts w:ascii="DejaVu Serif" w:hAnsi="DejaVu Serif" w:eastAsia="Noto Serif CJK SC"/>
          <w:color w:val="000000"/>
          <w:sz w:val="22"/>
        </w:rPr>
        <w:t xml:space="preserve">For reference only in the establishment, operation and management of a company,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measures for handling non-compliant and unlawful conduct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(1) order immediate correction; (2) order correction within a time limit; (3) suspend performance of duties; (4) order suspension from duty; (5) accept a consultation; (6) cancel qualification; (7) transfer to another post; (8) remove from office; (9) order compensation for losses; (10) order continued performance; (11) order return of the original property; (12) order the signing of a statement of repentance; (13) order the business to be redone; (14) order the department to rectify; (15) order solitary reflection behind closed doors; (16) order submission of a written self-criticism; (17) order suspension from duty for reflection; (18) order a public self-criticism; (19) give a circulated criticism; (20) order a private apology; (21) declaration of the nullity of the conduct; (22) confiscation of rights obtained and property; (23) order a moderate voluntary donation; (24) order payment of a moderate gratitude fee; (25) no award or commendation; (26) lower existing official rank (level); (27) reduction of non-basic remuneration (bonuses, benefits, dividends, etc.); (28) suspension of non-basic remuneration (bonuses, benefits, dividends, etc.); (29) give a non-public or public serious warning; (30) give an equivalent substantive punishment or sanction; (31) give a record-of-demert demerit; (32) give a record-of-gross-demert demerit;</w:t>
      </w:r>
    </w:p>
    <w:p>
      <w:pPr>
        <w:pStyle w:val="Compact"/>
        <w:numPr>
          <w:ilvl w:val="0"/>
          <w:numId w:val="1014"/>
        </w:numPr>
        <w:spacing w:after="120" w:line="312" w:lineRule="auto"/>
      </w:pPr>
      <w:r>
        <w:rPr>
          <w:rFonts w:ascii="DejaVu Serif" w:hAnsi="DejaVu Serif" w:eastAsia="Noto Serif CJK SC"/>
          <w:color w:val="000000"/>
          <w:sz w:val="22"/>
        </w:rPr>
        <w:t xml:space="preserve">cancel specific preferential rights (awards, commendations, honors of the advanced); (34) enter into the service-archive register and the credit-archive register; (35) publicly declare that one has been entered into the service-archive register and the credit-archive register; (36) revoke the work certificate; (37) cancel qualification to hold corresponding positions in specific departments throughout the company; (38) cancel qualification to hold office throughout the company; (39) (in accordance with law) dismissal for breach; (40) order compensation at price within the company; (41) recover losses in accordance with law; (42) refer to the judicial organs for treatment by civil litigation; (43) refer to the judicial organs for treatment by administrative litigation; (44) refer to the judicial organs for treatment by the public-security-administration-punishment organs; (45) treatment by criminal litigation: paragraph 1. 1. signing a statement of repentance; paragraph 2. 2. pronouncement of a suspended sentence; paragraph 3. 3. pronouncement of parole; paragraph 4. 4. residential surveillance; paragraph 5. 5. release on bail pending trial; paragraph 6. 6. medical parole; paragraph 7. 7. public control (3–24 months); paragraph 8. 8. detention (1–15 days); paragraph 9. 9. criminal detention (1–6 months); paragraph 10. 10. fixed-term imprisonment (with a suspended sentence); paragraph 11. 11. fixed-term imprisonment 0.5–25 years (actually served): item 1 1. fixed-term imprisonment 0.5–3 years (actually served); item 2 2. fixed-term imprisonment 3–5 years (actually served); item 3 3. fixed-term imprisonment 5–7 years (actually served, including 7 years); item 4 4. fixed-term imprisonment 7–10 years (actually served, excluding 7 years); item 5 4. fixed-term imprisonment 10–15 years (actually served); item 6 4. fixed-term imprisonment 15–20 years (actually served); item 7 5. fixed-term imprisonment 20–25 years (actually served); paragraph 12. 12. life imprisonment (not actually served; actually served 13–25 years); paragraph 13. 13. life imprisonment (imprisonment for life, no commutation, no parole; in principle at present expressly applicable only to extremely serious circumstances of the crime of embezzlement); paragraph 14. 14. death penalty / life penalty (execution suspended for 1–2 years); paragraph 15. 15. death penalty / life penalty (actually executed).</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reference only in the establishment and operation of a company,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measures for handling non-compliant and unlawful conduct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(1) order immediate correction; (2) order correction within a time limit; (3) suspend performance of duties; (4) order suspension from duty; (5) accept a consultation; (6) cancel qualification; (7) transfer to another post; (8) remove from office; (9) order compensation for losses; (10) order continued performance; (11) order return of the original property; (12) order the signing of a statement of repentance; (13) order the business to be redone; (14) order the unit to rectify; (15) order solitary reflection behind closed doors; (16) order submission of a written self-criticism; (17) order suspension from duty for reflection; (18) order a public self-criticism; (19) give a circulated criticism; (20) order a private apology; (21) declaration of the nullity of the conduct; (22) confiscation of rights obtained and property; (23) order a moderate voluntary donation; (24) order payment of a moderate gratitude fee; (25) no award …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 reference list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measures for handling non-compliant conduct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prepared for corporate governance, of more than twenty kinds, showing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library of measures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governing an enterprise.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Note</w:t>
            </w:r>
            <w:r>
              <w:rPr>
                <w:rFonts w:ascii="DejaVu Serif" w:hAnsi="DejaVu Serif" w:eastAsia="Noto Sans CJK SC"/>
                <w:color w:val="000000"/>
                <w:sz w:val="19"/>
              </w:rPr>
              <w:t xml:space="preserve">: this article is a reference for the governance measures of a corporate legal-person entity, not a hierarchical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punishment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sanction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management of company members; all handling is carried out in the compliant mode of governance, collaboration and the pursuit of liability for breach of contract.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measures listed proceed layer by layer from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(order to correct, consultation)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relatively serious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(removal from office, compensation), being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tiered handling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governing an enterprise. It dovetails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pursuit of liability for breach of contract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mechanism in the corporate governance system.</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title and main text of this article contain historical expressions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management and handling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understood in accordance with the express provision of the Charter’s terminology and the exemption rule of the TERM-REVIEW-001 comparison table, that is, carried out in the mode of governance, collaboration and pursuit.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 【Implementation and Supervision Mechanism】, Article 71 【Positioning and Market-Making】, Annex D.02.001 【The Grand Code of Contractual Liability for Breach by Non-Partner Cooperators】.</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88"/>
    <w:bookmarkStart w:id="89" w:name="Xf88324d2cc35a34e5deb8595738267fb118d8cd"/>
    <w:p>
      <w:pPr>
        <w:pStyle w:val="Heading3"/>
        <w:spacing w:after="120" w:line="312" w:lineRule="auto"/>
        <w:jc w:val="left"/>
      </w:pPr>
      <w:r>
        <w:rPr>
          <w:rFonts w:ascii="DejaVu Serif" w:hAnsi="DejaVu Serif" w:eastAsia="Noto Serif CJK SC"/>
          <w:color w:val="000000"/>
          <w:sz w:val="26"/>
        </w:rPr>
        <w:t xml:space="preserve">Article 49 【The MVP Principle for Purchasing Subject Matter】</w:t>
      </w:r>
    </w:p>
    <w:p>
      <w:pPr>
        <w:pStyle w:val="FirstParagraph"/>
        <w:spacing w:after="120" w:line="312" w:lineRule="auto"/>
      </w:pPr>
      <w:r>
        <w:rPr>
          <w:rFonts w:ascii="DejaVu Serif" w:hAnsi="DejaVu Serif" w:eastAsia="Noto Serif CJK SC"/>
          <w:color w:val="000000"/>
          <w:sz w:val="22"/>
        </w:rPr>
        <w:t xml:space="preserve">For each purchase, in principle one should consider planning in advance and drawing up a list, and strictly purchase according to the list; in principle one must never purchase any subject matter outside the list, and must not purchase, because of a price discount, any subject matter not planned and purchased in advance.</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2"/>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each purchase, in principle one should consider planning in advance and drawing up a list, and strictly purchase according to the list; in principle one must never purchase any subject matter outside the list, and must not purchase, because of a price discount, any subject matter not planned and purchased in advance.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purchase-list-ism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MVP principle) — plan first, draw up the list, purchase according to the list, and do not buy things outside the list because of a discount.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uses the small to reveal the great — self-discipline in consumption is the mastery of desire; it echoes Article 81 【The Principle of an Action Model of Self-Formulated Standards】 (the detailedness of the shopping list), and the Author’s life criterion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likewise based on this.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81, Article 8-3, Annex A.04.001.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89"/>
    <w:bookmarkStart w:id="90" w:name="X0fb8d7a68cfdeeff9c7f13d28ed7b8bf6989835"/>
    <w:p>
      <w:pPr>
        <w:pStyle w:val="Heading3"/>
        <w:spacing w:after="120" w:line="312" w:lineRule="auto"/>
        <w:jc w:val="left"/>
      </w:pPr>
      <w:r>
        <w:rPr>
          <w:rFonts w:ascii="DejaVu Serif" w:hAnsi="DejaVu Serif" w:eastAsia="Noto Serif CJK SC"/>
          <w:color w:val="000000"/>
          <w:sz w:val="26"/>
        </w:rPr>
        <w:t xml:space="preserve">Article 50 【The Essential Logic of the Creation of All Human Projects】</w:t>
      </w:r>
    </w:p>
    <w:p>
      <w:pPr>
        <w:pStyle w:val="FirstParagraph"/>
        <w:spacing w:after="120" w:line="312" w:lineRule="auto"/>
      </w:pPr>
      <w:r>
        <w:rPr>
          <w:rFonts w:ascii="DejaVu Serif" w:hAnsi="DejaVu Serif" w:eastAsia="Noto Serif CJK SC"/>
          <w:color w:val="000000"/>
          <w:sz w:val="22"/>
        </w:rPr>
        <w:t xml:space="preserve">Starting from human (human-nature) needs, one creates a state of chaos — which becomes ever clearer, systematized and theorized — profits decline — profitlessness — and one starts anew from human (human-nature) needs to create a new state of chaos.</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Starting from human (human-nature) needs, one creates a state of chaos — which becomes ever clearer, systematized and theorized — profits decline — profitlessness — and one starts anew from human (human-nature) needs to create a new state of chaos.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reveals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cyclical logic of project creation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arising from needs (chaos), passing through systematization (clarity), to declining profits (profitlessness), and then opening new needs (new chaos). This is an essential insight into the business cycle.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together with Article 51 【The Origin is an Idea】, Article 59 【The Business-Development Model】 and Article 60 【The Essence of Cyclical Return】, forms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view of the business cycle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showing the wisdom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embracing change and transforming in due time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51, Article 59, Article 60, Article 107.</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90"/>
    <w:bookmarkStart w:id="91" w:name="Xa851d035c155949d73379056c9a3cced38bb6d9"/>
    <w:p>
      <w:pPr>
        <w:pStyle w:val="Heading3"/>
        <w:spacing w:after="120" w:line="312" w:lineRule="auto"/>
        <w:jc w:val="left"/>
      </w:pPr>
      <w:r>
        <w:rPr>
          <w:rFonts w:ascii="DejaVu Serif" w:hAnsi="DejaVu Serif" w:eastAsia="Noto Serif CJK SC"/>
          <w:color w:val="000000"/>
          <w:sz w:val="26"/>
        </w:rPr>
        <w:t xml:space="preserve">Article 51 【The Origin of the Creation of All Human Projects】</w:t>
      </w:r>
    </w:p>
    <w:p>
      <w:pPr>
        <w:pStyle w:val="FirstParagraph"/>
        <w:spacing w:after="120" w:line="312" w:lineRule="auto"/>
      </w:pPr>
      <w:r>
        <w:rPr>
          <w:rFonts w:ascii="DejaVu Serif" w:hAnsi="DejaVu Serif" w:eastAsia="Noto Serif CJK SC"/>
          <w:color w:val="000000"/>
          <w:sz w:val="22"/>
        </w:rPr>
        <w:t xml:space="preserve">The origin of the creation of all human projects is a single Idea, merely a (altruistic) consensus idea and advocacy between oneself and the specific other persons who cooperate (generally through the media or commercial advertising), behind which is reflected the founder’s inner belief and vision, generally an essential logic based on the Author himself and the various groups of people, human (kind) and human nature, human hearts and dreams (erecting a barrier of information asymmetry between high-level and grassroots persons, the abstract and the concrete, the macro and the micro), so as to achieve the interests of specific persons; in essence any institution is composed of natural persons, and at most is the (essential, macro) consensus of the inner ideas of the persons at the top of the institution.</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origin of the creation of all human projects is a single Idea, merely a (altruistic) consensus idea and advocacy between oneself and the specific other persons who cooperate (generally through the media or commercial advertising), behind which is reflected the founder’s inner belief and vision, generally an essential logic based on the Author himself and the various groups of people, human (kind) and human nature, human hearts and dreams … in essence any institution is composed of natural persons, and at most is the (essential, macro) consensus of the inner ideas of the persons at the top of the institution.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reveals that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origin of a project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consensus idea</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(Idea) — every commercial project is in essence the externalization of the founder’s inner belief.</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together with Article 52 【The Logical Closed Loop】 and Article 60 【The Essence of Cyclical Return】, shows the Author’s cognition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ideas as the core of business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50, Article 52, Article 60.</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91"/>
    <w:bookmarkStart w:id="92" w:name="X2047bee11df9d6a100243bd21e3489220bea2e8"/>
    <w:p>
      <w:pPr>
        <w:pStyle w:val="Heading3"/>
        <w:spacing w:after="120" w:line="312" w:lineRule="auto"/>
        <w:jc w:val="left"/>
      </w:pPr>
      <w:r>
        <w:rPr>
          <w:rFonts w:ascii="DejaVu Serif" w:hAnsi="DejaVu Serif" w:eastAsia="Noto Serif CJK SC"/>
          <w:color w:val="000000"/>
          <w:sz w:val="26"/>
        </w:rPr>
        <w:t xml:space="preserve">Article 52 【The Scientific Logical Closed Loop of the Principle of the Creation of All Human Projects】</w:t>
      </w:r>
    </w:p>
    <w:p>
      <w:pPr>
        <w:pStyle w:val="FirstParagraph"/>
        <w:spacing w:after="120" w:line="312" w:lineRule="auto"/>
      </w:pPr>
      <w:r>
        <w:rPr>
          <w:rFonts w:ascii="DejaVu Serif" w:hAnsi="DejaVu Serif" w:eastAsia="Noto Serif CJK SC"/>
          <w:color w:val="000000"/>
          <w:sz w:val="22"/>
        </w:rPr>
        <w:t xml:space="preserve">The logical closed loop of the development of human society begins with the essence of philosophy (the acting person himself, the head of state at the number-one position of a federated organization of human-society states, and the head of state at the number-one position of the Author’s own country, or the ideological, conceptual and value system of human consensus) and passes through the essence of economics (the exchange of human wishes, the exchange of value) — law (political policy, international and national law) — education (the instrument for shaping the ideas of the political-circle strata) — linguistics and literature (the instrument of human education) — history (the record of all key events of mankind and the summary of trends) — science (the ideas of the natural sciences of mankind: physics, chemistry, biology, astronomy, geography, etc.) — engineering (the compilation of all the tangible techniques, methods and processes of mankind) — agriculture (the ideas and techniques relating to all the cultivation of plants and the rearing of animals by mankind) — medicine (all the research disciplines of mankind on the principles and branches of bodily health, disease, drugs, poisoning, etc.) — military affairs (the study of all the violent apparatuses of mankind and their mechanisms) — management and business (the study of all the persons engaged in the production and operation activities of enterprises and their mechanisms) — art (a culture of mankind that, by means of instruments or media, shapes images and creates atmospheres in order to reflect reality and place emotion).</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1"/>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logical closed loop of the development of human society begins with the essence of philosophy (the acting person himself, the head of state at the number-one position, or the ideological, conceptual and value system of human consensus) and passes through the essence of economics (the exchange of human wishes, the exchange of value) — law (political policy, international and national law) — education (the instrument for shaping ideas) — linguistics and literature — history — science — engineering — agriculture — medicine — military affairs … (the disciplines interlink ring upon ring to form a logical closed loop;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uses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closed loop of disciplines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describe the logic of the operation of human society — beginning with philosophy and passing through economics, law, education, literature, history, science, engineering, agriculture, medicine and military affairs, forming a self-consistent system. This is the Author’s overall map of interdisciplinary cognition.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32 【Knowledge Structure】, Article 43 【The Circle Worldview】 and Article 53 【The Interdisciplinary Habit】, showing the Author’s vision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seeing the world through the interpenetration of disciplines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32, Article 43, Article 53.</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92"/>
    <w:bookmarkStart w:id="93" w:name="article-53-daily-habits"/>
    <w:p>
      <w:pPr>
        <w:pStyle w:val="Heading3"/>
        <w:spacing w:after="120" w:line="312" w:lineRule="auto"/>
        <w:jc w:val="left"/>
      </w:pPr>
      <w:r>
        <w:rPr>
          <w:rFonts w:ascii="DejaVu Serif" w:hAnsi="DejaVu Serif" w:eastAsia="Noto Serif CJK SC"/>
          <w:color w:val="000000"/>
          <w:sz w:val="26"/>
        </w:rPr>
        <w:t xml:space="preserve">Article 53 【Daily Habits】</w:t>
      </w:r>
    </w:p>
    <w:p>
      <w:pPr>
        <w:pStyle w:val="FirstParagraph"/>
        <w:spacing w:after="120" w:line="312" w:lineRule="auto"/>
      </w:pPr>
      <w:r>
        <w:rPr>
          <w:rFonts w:ascii="DejaVu Serif" w:hAnsi="DejaVu Serif" w:eastAsia="Noto Serif CJK SC"/>
          <w:color w:val="000000"/>
          <w:sz w:val="22"/>
        </w:rPr>
        <w:t xml:space="preserve">The Author’s daily habits include: (1) reading biographical and academic-principle books; (2) multilingual writing; (3) learning foreign languages; (4) multilingual speeches and orations; (5) interdisciplinary reading; (6) cross-linguistic and cross-cultural reading; (7) cross-cultural socializing (intercourse); (8) learning interdisciplinary principles; (9) fitness; (10) strategic planning; (11) personnel organization; (12) formulation of project plans; (13) implementation; (14) supervision of implementation; (15) reflection and review.</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daily habits include: (1) reading biographical and academic-principle books; (2) multilingual writing; (3) learning foreign languages; (4) multilingual speeches and orations; (5) interdisciplinary reading; (6) cross-linguistic and cross-cultural reading; (7) cross-cultural socializing (intercourse); (8) learning interdisciplinary principles; (9) fitness; (10) strategic planning; (11) personnel organization; (12) formulation of project plans; (13) implementation; (14) supervision of implementation; (15) reflection and review;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lists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daily habits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of more than ten kinds, as the method of the daily cultivation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personality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habits fall into three categories: learning (reading, writing, learning, speaking), cross-cultural (cross-linguistic, cross-cultural socializing) and business (planning, organizing, implementing, supervising, reviewing). They are akin to Article 54</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focus at each stage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Article 32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knowledge structure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 Article 32, Article 54, Article 119.</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93"/>
    <w:bookmarkStart w:id="95" w:name="Xe0612911ea068ceabb1f124728a28e2358b1028"/>
    <w:p>
      <w:pPr>
        <w:pStyle w:val="Heading3"/>
        <w:spacing w:after="120" w:line="312" w:lineRule="auto"/>
        <w:jc w:val="left"/>
      </w:pPr>
      <w:r>
        <w:rPr>
          <w:rFonts w:ascii="DejaVu Serif" w:hAnsi="DejaVu Serif" w:eastAsia="Noto Serif CJK SC"/>
          <w:color w:val="000000"/>
          <w:sz w:val="26"/>
        </w:rPr>
        <w:t xml:space="preserve">Article 54 【The Core and Critical Matters on Which to Focus at Each Stage from Penniless to the World’s Richest】</w:t>
      </w:r>
    </w:p>
    <w:p>
      <w:pPr>
        <w:pStyle w:val="FirstParagraph"/>
        <w:spacing w:after="120" w:line="312" w:lineRule="auto"/>
      </w:pPr>
      <w:r>
        <w:rPr>
          <w:rFonts w:ascii="DejaVu Serif" w:hAnsi="DejaVu Serif" w:eastAsia="Noto Serif CJK SC"/>
          <w:color w:val="000000"/>
          <w:sz w:val="22"/>
        </w:rPr>
        <w:t xml:space="preserve">The matters on which to focus at each stage from penniless to the world’s richest are specifically as follows: (1) 0–10k/year — solving a small problem of a small group (the elite group); (2) 10k–100k/year — in-depth professional activity (whether the solution is good); (3) 100k–1M/year — project planning and operation activity; (4) 1M–10M/year — standardization activity, marketing activity, team-building</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matters on which to focus at each stage from penniless to the world’s richest are specifically as follows: (1) 0–10k/year — solving a small problem of a small group (the elite group); (2) 10k–100k/year — in-depth professional activity (whether the solution is good); (3) 100k–1M/year — project planning and operation activity; (4) 1M–10M/year — standardization activity, marketing activity, team-building …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By income ladder, this article sets out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core matters of focus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each stage, showing the Author’s strategy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stage-matching and step-by-step ascent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corresponds to Article 8-2 【Sequential Direction】, Article 59 【The Business-Development Model】 and Article 63 【The Stages of the Financial Ark】, together forming the Author’s methodology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laddered growth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8-2, Article 59, Article 62, Article 63.</w:t>
            </w:r>
          </w:p>
        </w:tc>
      </w:tr>
      <w:tr>
        <w:tc>
          <w:tcPr/>
          <w:p>
            <w:pPr>
              <w:pStyle w:val="Compact"/>
              <w:spacing w:after="40" w:line="288" w:lineRule="auto"/>
            </w:pPr>
          </w:p>
        </w:tc>
      </w:tr>
      <w:tr>
        <w:tc>
          <w:tcPr/>
          <w:p>
            <w:pPr>
              <w:pStyle w:val="Heading2"/>
              <w:spacing w:after="40" w:line="288" w:lineRule="auto"/>
              <w:jc w:val="left"/>
            </w:pPr>
            <w:bookmarkStart w:id="94" w:name="X8bc8ca43a89f7295caaa7aec010b7791cd94354"/>
            <w:r>
              <w:rPr>
                <w:rFonts w:ascii="DejaVu Serif" w:hAnsi="DejaVu Serif" w:eastAsia="Noto Sans CJK SC"/>
                <w:color w:val="000000"/>
                <w:sz w:val="19"/>
              </w:rPr>
              <w:t xml:space="preserve">Volume Six — The Chapter on Career and Business</w:t>
            </w:r>
            <w:bookmarkEnd w:id="94"/>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95"/>
    <w:bookmarkStart w:id="97" w:name="X7d8cdaba0b8baa57047184f77aef2317eb486eb"/>
    <w:p>
      <w:pPr>
        <w:pStyle w:val="Heading3"/>
        <w:spacing w:after="120" w:line="312" w:lineRule="auto"/>
        <w:jc w:val="left"/>
      </w:pPr>
      <w:r>
        <w:rPr>
          <w:rFonts w:ascii="DejaVu Serif" w:hAnsi="DejaVu Serif" w:eastAsia="Noto Serif CJK SC"/>
          <w:color w:val="000000"/>
          <w:sz w:val="26"/>
        </w:rPr>
        <w:t xml:space="preserve">Article 54 【The Core and Critical Matters on Which to Focus at Each Stage from Penniless to the World’s Richest】</w:t>
      </w:r>
    </w:p>
    <w:p>
      <w:pPr>
        <w:pStyle w:val="FirstParagraph"/>
        <w:spacing w:after="120" w:line="312" w:lineRule="auto"/>
      </w:pPr>
      <w:r>
        <w:rPr>
          <w:rFonts w:ascii="DejaVu Serif" w:hAnsi="DejaVu Serif" w:eastAsia="Noto Serif CJK SC"/>
          <w:color w:val="000000"/>
          <w:sz w:val="22"/>
        </w:rPr>
        <w:t xml:space="preserve">The matters on which to focus at each stage from penniless to the world’s richest are specifically as follows: (1) 0–10k/year — solving a small problem of a small group (the elite group); (2) 10k–100k/year — in-depth professional activity (whether the solution is good); (3) 100k–1M/year — project planning and operation activity; (4) 1M–10M/year — standardization activity, marketing activity, team-building activity (inspiration, personnel use, one’s own character); (5) 10M–100M/year — (macro, abstract and intangible) business-model design activity; (6) 100M–1B/year — replicating a project of the same business model ten times over; (7) 1B–10B/year — equity design, corporate legal-person cluster (group) structure, business direction; (8) 10B–100B/year — national destiny (the destiny of the state) and development trends; (9) 100B–1,000B/year — the development trends of human society (people, finance and things; the right timing, the right place and the right people).</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matters on which to focus at each stage from penniless to the world’s richest are specifically as follows: (1) 0–10k/year — solving a small problem of a small group (the elite group); (2) 10k–100k/year — in-depth professional activity (whether the solution is good); (3) 100k–1M/year — project planning and operation activity; (4) 1M–10M/year — standardization activity, marketing activity, team-building …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By income ladder, this article sets out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core matters of focus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each stage, showing the Author’s strategy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stage-matching and step-by-step ascent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corresponds to Article 8-2 【Sequential Direction】, Article 59 【The Business-Development Model】 and Article 63 【The Stages of the Financial Ark】, together forming the Author’s methodology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laddered growth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8-2, Article 59, Article 62, Article 63.</w:t>
            </w:r>
          </w:p>
        </w:tc>
      </w:tr>
      <w:tr>
        <w:tc>
          <w:tcPr/>
          <w:p>
            <w:pPr>
              <w:pStyle w:val="Compact"/>
              <w:spacing w:after="40" w:line="288" w:lineRule="auto"/>
            </w:pPr>
          </w:p>
        </w:tc>
      </w:tr>
      <w:tr>
        <w:tc>
          <w:tcPr/>
          <w:p>
            <w:pPr>
              <w:pStyle w:val="Heading2"/>
              <w:spacing w:after="40" w:line="288" w:lineRule="auto"/>
              <w:jc w:val="left"/>
            </w:pPr>
            <w:bookmarkStart w:id="96" w:name="X1825010b69192f6869bfcd604ecff7b4c4a049d"/>
            <w:r>
              <w:rPr>
                <w:rFonts w:ascii="DejaVu Serif" w:hAnsi="DejaVu Serif" w:eastAsia="Noto Sans CJK SC"/>
                <w:color w:val="000000"/>
                <w:sz w:val="19"/>
              </w:rPr>
              <w:t xml:space="preserve">Volume Six — The Chapter on Career and Business</w:t>
            </w:r>
            <w:bookmarkEnd w:id="96"/>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97"/>
    <w:bookmarkStart w:id="98" w:name="X1f825b92a6c05eaefaf21da18d87863bf51c002"/>
    <w:p>
      <w:pPr>
        <w:pStyle w:val="Heading3"/>
        <w:spacing w:after="120" w:line="312" w:lineRule="auto"/>
        <w:jc w:val="left"/>
      </w:pPr>
      <w:r>
        <w:rPr>
          <w:rFonts w:ascii="DejaVu Serif" w:hAnsi="DejaVu Serif" w:eastAsia="Noto Serif CJK SC"/>
          <w:color w:val="000000"/>
          <w:sz w:val="26"/>
        </w:rPr>
        <w:t xml:space="preserve">Article 55 【The Population-Selection Model for Entrepreneurship】</w:t>
      </w:r>
    </w:p>
    <w:p>
      <w:pPr>
        <w:pStyle w:val="FirstParagraph"/>
        <w:spacing w:after="120" w:line="312" w:lineRule="auto"/>
      </w:pPr>
      <w:r>
        <w:rPr>
          <w:rFonts w:ascii="DejaVu Serif" w:hAnsi="DejaVu Serif" w:eastAsia="Noto Serif CJK SC"/>
          <w:color w:val="000000"/>
          <w:sz w:val="22"/>
        </w:rPr>
        <w:t xml:space="preserve">Starting from the essential logic of the highest disciplinary theme of the one thing one wishes to do, one determines the What, Why, How and How much cost; proceeding from the common (all are persons, and activities and wishes all follow the essential commonalities of human nature) to the particular (each person’s different details and phenomena), and from the macro into the micro, one first provides solutions to the urgent, difficult, dangerous and heavy specific problems of the elite of the served (positioning at the small group of wealthy persons); as the project deepens, one then gradually transitions to providing solutions to the specific problems of the general public.</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1"/>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Starting from the essential logic of the highest disciplinary theme of the one thing one wishes to do, one determines the What, Why, How and How much cost; proceeding from the common (all are persons, and activities and wishes all follow the essential commonalities of human nature) to the particular (each person’s different details and phenomena), and from the macro into the micro, one first provides solutions to the urgent, difficult, dangerous and heavy specific problems of the elite of the served (positioning at the small group of wealthy persons); as the project deepens, one then gradually transitions to providing solutions to the specific problems of the general public.</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population-selection model of entrepreneurship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starting from essential logic (What/Why/How/Cost), first serving the urgent, difficult, dangerous and heavy problems of the elite, and afterwards the general needs of the masses. This is the business path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entering from the high end and penetrating downward</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85 【Client Seeking and Positioning】 and Article 59 【The Business-Development Model】. Serving the elite first and the masses afterwards is in truth the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validating with high value and expanding with scale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56, Article 59, Article 84, Article 85.</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98"/>
    <w:bookmarkStart w:id="99" w:name="article-56-the-essence-of-gratitude"/>
    <w:p>
      <w:pPr>
        <w:pStyle w:val="Heading3"/>
        <w:spacing w:after="120" w:line="312" w:lineRule="auto"/>
        <w:jc w:val="left"/>
      </w:pPr>
      <w:r>
        <w:rPr>
          <w:rFonts w:ascii="DejaVu Serif" w:hAnsi="DejaVu Serif" w:eastAsia="Noto Serif CJK SC"/>
          <w:color w:val="000000"/>
          <w:sz w:val="26"/>
        </w:rPr>
        <w:t xml:space="preserve">Article 56 【The Essence of Gratitude】</w:t>
      </w:r>
    </w:p>
    <w:p>
      <w:pPr>
        <w:pStyle w:val="FirstParagraph"/>
        <w:spacing w:after="120" w:line="312" w:lineRule="auto"/>
      </w:pPr>
      <w:r>
        <w:rPr>
          <w:rFonts w:ascii="DejaVu Serif" w:hAnsi="DejaVu Serif" w:eastAsia="Noto Serif CJK SC"/>
          <w:color w:val="000000"/>
          <w:sz w:val="22"/>
        </w:rPr>
        <w:t xml:space="preserve">The essence of gratitude is an inner emotion, whose specific manifestations mainly include: (1) sending gratitude messages (digital messages, letters, video, audio, etc.); (2) sending a small gratitude red packet; (3) naturally referring high-quality persons; (4) other reasonable methods.</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gratitude is an inner emotion, whose specific manifestations mainly include: (1) sending gratitude messages (digital messages, letters, video, audio, etc.); (2) sending a small gratitude red packet; (3) naturally referring high-quality persons; (4) other reasonable methods.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defines the essence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gratitude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 inner emotion) and its manifestations (messages, red packets, referrals, etc.), showing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knowing grace and repaying 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third manifestation of gratitude,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naturally referring high-quality 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is the Author’s business ethic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feeding back through connections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akin to Article 111 【Maximizing Altruism】.</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72, Article 111, Article 118.</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99"/>
    <w:bookmarkStart w:id="100" w:name="X9e1fbdc2facad574e8a1fc7fa062db15266060c"/>
    <w:p>
      <w:pPr>
        <w:pStyle w:val="Heading3"/>
        <w:spacing w:after="120" w:line="312" w:lineRule="auto"/>
        <w:jc w:val="left"/>
      </w:pPr>
      <w:r>
        <w:rPr>
          <w:rFonts w:ascii="DejaVu Serif" w:hAnsi="DejaVu Serif" w:eastAsia="Noto Serif CJK SC"/>
          <w:color w:val="000000"/>
          <w:sz w:val="26"/>
        </w:rPr>
        <w:t xml:space="preserve">Article 57 【Working for Others, Entrepreneurship, Establishment of Corporate Legal-Person Entities, Investment, and IPR Property Income】</w:t>
      </w:r>
    </w:p>
    <w:p>
      <w:pPr>
        <w:pStyle w:val="FirstParagraph"/>
        <w:spacing w:after="120" w:line="312" w:lineRule="auto"/>
      </w:pPr>
      <w:r>
        <w:rPr>
          <w:rFonts w:ascii="DejaVu Serif" w:hAnsi="DejaVu Serif" w:eastAsia="Noto Serif CJK SC"/>
          <w:color w:val="000000"/>
          <w:sz w:val="22"/>
        </w:rPr>
        <w:t xml:space="preserve">The cash flow sustaining the Author’s life comes from the Author’s independent entrepreneurship initiated personally on the basis of the supply-and-demand relations of the market population (e.g., a small-micro enterprise legal person), team entrepreneurship (forming a team to start a business), dividends from legal-person entities, personal portfolio investment, and the property income of IPR (intellectual property rights); where the right to life and subsistence is under serious threat, it may come from temporary labor-service income based on point-to-point labor services and remunerated according to the results of the work; the Author does not accept wage-type income remunerated by the hours of labor, except in any of the following circumstances: where the Author’s subsistence or life is under an extreme realistic threat, and failure to take timely measures could cause the loss of the Author’s life or imminent death, and within a foreseeable length of time there is no other income channel or disposable income; where the Author’s subsistence or life is under an extreme realistic threat, and failure to take timely measures could cause the Author’s body organs, limbs or other key personal subject matters to suffer lifelong irreversible damage, and within a foreseeable length of time there is no other income channel or disposable income; where the institution paying the wage-type income remunerated by the hours of labor (generally a corporate legal-person entity) enables the Author to learn a specific equity structure, business model or key core commercial information, conducive to the Author’s subsequent engagement in independent entrepreneurial and investment activities.</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cash flow sustaining the Author’s life comes from the Author’s independent entrepreneurship initiated personally on the basis of the supply-and-demand relations of the market population (e.g., a small-micro enterprise legal person), team entrepreneurship (forming a team to start a business), dividends from legal-person entities, personal portfolio investment, and the property income of IPR (intellectual property rights); where the right to life and subsistence is under serious threat, it may come from temporary labor-service income based on point-to-point labor services and remunerated according to the results of the work;</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the Author does not accept wage-type income remunerated by the hours of labor</w:t>
            </w:r>
            <w:r>
              <w:rPr>
                <w:rFonts w:ascii="DejaVu Serif" w:hAnsi="DejaVu Serif" w:eastAsia="Noto Sans CJK SC"/>
                <w:color w:val="000000"/>
                <w:sz w:val="19"/>
              </w:rPr>
              <w:t xml:space="preserve">, except in any of the following circumstances: where the Author’s subsistence or life is under an extreme realistic threat …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income sources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taking entrepreneurship, investment and IPR property income as the main body, and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in principle not accepting</w:t>
            </w:r>
            <w:r>
              <w:rPr>
                <w:rFonts w:ascii="DejaVu Serif" w:hAnsi="DejaVu Serif" w:eastAsia="Noto Sans CJK SC"/>
                <w:b/>
                <w:bCs/>
                <w:color w:val="000000"/>
                <w:sz w:val="19"/>
              </w:rPr>
              <w:t xml:space="preserve"> </w:t>
            </w:r>
            <w:r>
              <w:rPr>
                <w:rFonts w:ascii="DejaVu Serif" w:hAnsi="DejaVu Serif" w:eastAsia="Noto Sans CJK SC"/>
                <w:b/>
                <w:bCs/>
                <w:color w:val="000000"/>
                <w:sz w:val="19"/>
              </w:rPr>
              <w:t xml:space="preserve">“</w:t>
            </w:r>
            <w:r>
              <w:rPr>
                <w:rFonts w:ascii="DejaVu Serif" w:hAnsi="DejaVu Serif" w:eastAsia="Noto Sans CJK SC"/>
                <w:b/>
                <w:bCs/>
                <w:color w:val="000000"/>
                <w:sz w:val="19"/>
              </w:rPr>
              <w:t xml:space="preserve">wage-type income</w:t>
            </w:r>
            <w:r>
              <w:rPr>
                <w:rFonts w:ascii="DejaVu Serif" w:hAnsi="DejaVu Serif" w:eastAsia="Noto Sans CJK SC"/>
                <w:b/>
                <w:bCs/>
                <w:color w:val="000000"/>
                <w:sz w:val="19"/>
              </w:rPr>
              <w:t xml:space="preserve">”</w:t>
            </w:r>
            <w:r>
              <w:rPr>
                <w:rFonts w:ascii="DejaVu Serif" w:hAnsi="DejaVu Serif" w:eastAsia="Noto Sans CJK SC"/>
                <w:b/>
                <w:bCs/>
                <w:color w:val="000000"/>
                <w:sz w:val="19"/>
              </w:rPr>
              <w:t xml:space="preserve"> </w:t>
            </w:r>
            <w:r>
              <w:rPr>
                <w:rFonts w:ascii="DejaVu Serif" w:hAnsi="DejaVu Serif" w:eastAsia="Noto Sans CJK SC"/>
                <w:b/>
                <w:bCs/>
                <w:color w:val="000000"/>
                <w:sz w:val="19"/>
              </w:rPr>
              <w:t xml:space="preserve">remunerated by the hours of labor</w:t>
            </w:r>
            <w:r>
              <w:rPr>
                <w:rFonts w:ascii="DejaVu Serif" w:hAnsi="DejaVu Serif" w:eastAsia="Noto Sans CJK SC"/>
                <w:color w:val="000000"/>
                <w:sz w:val="19"/>
              </w:rPr>
              <w:t xml:space="preserve">. This is the concentrated embodiment of this Charter’s spirit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opposing personal dependence and advocating autonomous entrepreneurship</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exceptions of this article (subsistence or life under extreme threat and no other channel) are expedients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under extreme circumstances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must be strictly grasped. This article is in the same lineage as Article 10 【Mission】, Article 58 【The Essence of Wages】 and Article 63 【The Stages of the Financial Ark】 — the Author’s life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creating assets that can run automatically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occupation, not selling time for a living. Wherever historical expressions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wages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working for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involved, they are transcribed verbatim from the original to make the contrast clear, and fall within the comparison-table exemption.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main text of this article contains historical expressions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working for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all understood in accordance with the exemption rule of the TERM-REVIEW-001 comparison table.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 Article 58, Article 63, Article 8-3, Article 21.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0"/>
    <w:bookmarkStart w:id="101" w:name="article-58-the-essence-of-wages"/>
    <w:p>
      <w:pPr>
        <w:pStyle w:val="Heading3"/>
        <w:spacing w:after="120" w:line="312" w:lineRule="auto"/>
        <w:jc w:val="left"/>
      </w:pPr>
      <w:r>
        <w:rPr>
          <w:rFonts w:ascii="DejaVu Serif" w:hAnsi="DejaVu Serif" w:eastAsia="Noto Serif CJK SC"/>
          <w:color w:val="000000"/>
          <w:sz w:val="26"/>
        </w:rPr>
        <w:t xml:space="preserve">Article 58 【The Essence of Wages】</w:t>
      </w:r>
    </w:p>
    <w:p>
      <w:pPr>
        <w:pStyle w:val="FirstParagraph"/>
        <w:spacing w:after="120" w:line="312" w:lineRule="auto"/>
      </w:pPr>
      <w:r>
        <w:rPr>
          <w:rFonts w:ascii="DejaVu Serif" w:hAnsi="DejaVu Serif" w:eastAsia="Noto Serif CJK SC"/>
          <w:color w:val="000000"/>
          <w:sz w:val="22"/>
        </w:rPr>
        <w:t xml:space="preserve">The essence of wages is that the boss or entrepreneur spends money and currency to purchase the time, energy and solutions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grassroots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so as to sustain his own life.</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wages is that the entrepreneur spends money and currency to purchase the time, energy and solutions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grassroots 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so as to sustain his own life.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Taking an essentialist perspective, this article reveals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wages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consideration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purchasing others’ time, energy and solutions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showing the Author’s economic philosophy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selling time for a living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By clarifying the essence of wages, one knows that the Author’s way out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changing from the purchased to the purchaser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20 【Core-Asset Creation】). This article, together with Articles 57 and 10, forms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self-awareness of economic identity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Wherever historical expressions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grassroots 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involved, they are transcribed verbatim from the original to make the contrast clear.</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 Article 20, Article 57, Article 63.</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1"/>
    <w:bookmarkStart w:id="102" w:name="X9c1d015932c667532802dbf4688b630bcad4e97"/>
    <w:p>
      <w:pPr>
        <w:pStyle w:val="Heading3"/>
        <w:spacing w:after="120" w:line="312" w:lineRule="auto"/>
        <w:jc w:val="left"/>
      </w:pPr>
      <w:r>
        <w:rPr>
          <w:rFonts w:ascii="DejaVu Serif" w:hAnsi="DejaVu Serif" w:eastAsia="Noto Serif CJK SC"/>
          <w:color w:val="000000"/>
          <w:sz w:val="26"/>
        </w:rPr>
        <w:t xml:space="preserve">Article 59 【The General Model of Business Development】</w:t>
      </w:r>
    </w:p>
    <w:p>
      <w:pPr>
        <w:pStyle w:val="FirstParagraph"/>
        <w:spacing w:after="120" w:line="312" w:lineRule="auto"/>
      </w:pPr>
      <w:r>
        <w:rPr>
          <w:rFonts w:ascii="DejaVu Serif" w:hAnsi="DejaVu Serif" w:eastAsia="Noto Serif CJK SC"/>
          <w:color w:val="000000"/>
          <w:sz w:val="22"/>
        </w:rPr>
        <w:t xml:space="preserve">Business and institutional development: the period of discovering human needs (opportunities) — the project-design period — the period of the founder personally taking the field — the period of free client entry (the project-validation period, low-price or free) — the 1v1 low-price service period — the 1vN raised-price service period — the 1vN course-training period (the standardization period) — the vetted membership-club period — the business-scaling period — the business-capitalization period — the cash-out-and-exit period.</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Business and institutional development: the period of discovering human needs (opportunities) — the project-design period — the period of the founder personally taking the field — the period of free client entry (the project-validation period, low-price or free) — the 1v1 low-price service period — the 1vN raised-price service period — the 1vN course-training period (the standardization period) — the vetted membership-club period — the business-scaling period — the business-capitalization period — the cash-out-and-exit period.</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 model of business development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eleven stages from the discovery of needs to capitalization and exit, being the standard roadmap of the Author’s entrepreneurship.</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model is akin to Article 8-2 【Sequential Direction】, Article 54 【Focus at Each Stage】 and Article 63 【The Stages of the Financial Ark】, together forming the growth map of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business–life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double helix.</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8-2, Article 54, Article 63, Article 107.</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2"/>
    <w:bookmarkStart w:id="103" w:name="X44ad3b9f5709bb3824a14a504925c9a2f2cb87b"/>
    <w:p>
      <w:pPr>
        <w:pStyle w:val="Heading3"/>
        <w:spacing w:after="120" w:line="312" w:lineRule="auto"/>
        <w:jc w:val="left"/>
      </w:pPr>
      <w:r>
        <w:rPr>
          <w:rFonts w:ascii="DejaVu Serif" w:hAnsi="DejaVu Serif" w:eastAsia="Noto Serif CJK SC"/>
          <w:color w:val="000000"/>
          <w:sz w:val="26"/>
        </w:rPr>
        <w:t xml:space="preserve">Article 60 【The Essence of the Cyclical Return of All Human Activities】</w:t>
      </w:r>
    </w:p>
    <w:p>
      <w:pPr>
        <w:pStyle w:val="FirstParagraph"/>
        <w:spacing w:after="120" w:line="312" w:lineRule="auto"/>
      </w:pPr>
      <w:r>
        <w:rPr>
          <w:rFonts w:ascii="DejaVu Serif" w:hAnsi="DejaVu Serif" w:eastAsia="Noto Serif CJK SC"/>
          <w:color w:val="000000"/>
          <w:sz w:val="22"/>
        </w:rPr>
        <w:t xml:space="preserve">The essence of all human activities is to play with others’ human hearts, human nature, ideas (their self-consistent closed loop), emotions, wishes and visions — nothing else; and the higher the level (especially the level of the person at the number-one position of a state), the more so; and the design of their institutions often consists in designing the switches of human nature into the institutions.</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8"/>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all human activities is to play with others’ human hearts, human nature, ideas (their self-consistent closed loop), emotions, wishes and visions — nothing else; and the higher the level (especially the level of the person at the number-one position of a state), the more so; and the design of their institutions often consists in designing the switches of human nature into the institutions.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reveals, through essentialism,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cyclical return of human activities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at bottom, all revolve around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human hearts and human nature, ideas and emotions, wishes and visions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more so at higher levels; and the ingenuity of institutions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human nature as the switch</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45 【Attribution to the Person】, Article 50 【The Essence of the Cycle】 and Article 52 【The Logical Closed Loop】; it is the cognitive basis of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insight into human nature and skill in positioning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 (24) of Article 2).</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45, Article 50, Article 52, Article 71.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3"/>
    <w:bookmarkStart w:id="104" w:name="X099970bf3e4eebb2702cbc2bc125c037c9c3831"/>
    <w:p>
      <w:pPr>
        <w:pStyle w:val="Heading3"/>
        <w:spacing w:after="120" w:line="312" w:lineRule="auto"/>
        <w:jc w:val="left"/>
      </w:pPr>
      <w:r>
        <w:rPr>
          <w:rFonts w:ascii="DejaVu Serif" w:hAnsi="DejaVu Serif" w:eastAsia="Noto Serif CJK SC"/>
          <w:color w:val="000000"/>
          <w:sz w:val="26"/>
        </w:rPr>
        <w:t xml:space="preserve">Article 61 【Negative List of Themes for Organizing Activities】</w:t>
      </w:r>
    </w:p>
    <w:p>
      <w:pPr>
        <w:pStyle w:val="FirstParagraph"/>
        <w:spacing w:after="120" w:line="312" w:lineRule="auto"/>
      </w:pPr>
      <w:r>
        <w:rPr>
          <w:rFonts w:ascii="DejaVu Serif" w:hAnsi="DejaVu Serif" w:eastAsia="Noto Serif CJK SC"/>
          <w:color w:val="000000"/>
          <w:sz w:val="22"/>
        </w:rPr>
        <w:t xml:space="preserve">In order to ensure freedom, the following activities whose purpose or intent of action is a themed activity may not be organized unless the criminal law is correspondingly amended: (1) those that split the state; (2) those that subvert the existing regime; (3) those that overthrow the existing social and political system; (4) those that establish or operate a mafia-natured organization; (5) those that establish an extremist-natured organization; (6) those of prostitution;</w:t>
      </w:r>
    </w:p>
    <w:p>
      <w:pPr>
        <w:pStyle w:val="Compact"/>
        <w:numPr>
          <w:ilvl w:val="0"/>
          <w:numId w:val="1015"/>
        </w:numPr>
        <w:spacing w:after="120" w:line="312" w:lineRule="auto"/>
      </w:pPr>
      <w:r>
        <w:rPr>
          <w:rFonts w:ascii="DejaVu Serif" w:hAnsi="DejaVu Serif" w:eastAsia="Noto Serif CJK SC"/>
          <w:color w:val="000000"/>
          <w:sz w:val="22"/>
        </w:rPr>
        <w:t xml:space="preserve">those of illegally crossing the national border; (8) those of prison escape; (9) those of unlawful assembly as provided by the criminal law; (10) those of abducting and trafficking women or children; (11) those of international gambling (gambling abroad); (12) those of fraudulently assuming specific qualifications or treatment provided by politicians in the name and concept of the state; (13) those of illegal smuggling; (14) those of organizing cult activities whose core intent is to undermine the implementation of law or which may cause serious injury or death; (15) [omitted for legal and regulatory compliance requirements]*** (Note: newly added sensitive negative activity types, marked in accordance with the classified-information rules); (16) [omitted for legal and regulatory compliance requirements]*** (Note: newly added sensitive negative activity types, marked in accordance with the classified-information rules) *# This provision supplements the marking of sensitive negative activity types on the basis of the original text;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rules for the confidentiality of sensitive content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types that may involve non-compliance and unlawfulness but are not listed are treated as classified, so as to avoid compliance risks#.</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order to ensure freedom, the following activities whose purpose or intent of action is a themed activity may not be organized unless the criminal law is correspondingly amended: (1) those that split the state; (2) those that subvert the existing regime; (3) those that overthrow the existing social and political system; (4) those that establish or operate a mafia-natured organization; (5) those that establish an extremist-natured organization; (6) those of prostitution; (7) those of illegally crossing the national border; (8) those of prison escape; (9) those of unlawful assembly as provided by the criminal law; (10) those of abducting and trafficking women or children; (11) those of international gambling (gambling abroad); (12) those of fraudulently assuming specific qualifications or treatment provided by politicians in the name and concept of the state; (13) those of illegal smuggling; (14) those of organizing cult activities whose core intent is to undermine the implementation of law or which may cause serious injury or death; (15) [omitted for legal and regulatory compliance requirements].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negative list of activity organizing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of more than ten kinds, being activities absolutely prohibited from being organized. Its legislative purpose lies in taking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what the law prohibits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boundary, safeguarding the freedom and safety of the Author’s life.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list corresponds to Article 12, Article 13-2 (prohibited conduct), Article 98 【The Ultimate Baseline】 and Annex A.08.001 【The Binary Iron Rule of Organizational Participation】, together forming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system of boundary protection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Wherever the Author establishes his own organization, he may likewise not violate this article (in accordance with Article 6 of Annex A.08.001).</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98, Article 144, Annex A.08.001.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4"/>
    <w:bookmarkStart w:id="105" w:name="Xdbd26a394e4eba3cb578e1b5ce236b437cb49e6"/>
    <w:p>
      <w:pPr>
        <w:pStyle w:val="Heading3"/>
        <w:spacing w:after="120" w:line="312" w:lineRule="auto"/>
        <w:jc w:val="left"/>
      </w:pPr>
      <w:r>
        <w:rPr>
          <w:rFonts w:ascii="DejaVu Serif" w:hAnsi="DejaVu Serif" w:eastAsia="Noto Serif CJK SC"/>
          <w:color w:val="000000"/>
          <w:sz w:val="26"/>
        </w:rPr>
        <w:t xml:space="preserve">Article 62 【Division of the Macro Periods of Life】</w:t>
      </w:r>
    </w:p>
    <w:p>
      <w:pPr>
        <w:pStyle w:val="FirstParagraph"/>
        <w:spacing w:after="120" w:line="312" w:lineRule="auto"/>
      </w:pPr>
      <w:r>
        <w:rPr>
          <w:rFonts w:ascii="DejaVu Serif" w:hAnsi="DejaVu Serif" w:eastAsia="Noto Serif CJK SC"/>
          <w:color w:val="000000"/>
          <w:sz w:val="22"/>
        </w:rPr>
        <w:t xml:space="preserve">Childhood — the first student period (with cognitive elevation, trust endorsement, influence-shaping and circle transformation as the core essential purposes) — the period with business as its core 【the period of the beginning of sojourning】 — the period with capital as its core — the period of complete financial freedom — the second student period (academic research, further study abroad, study tours) — the period after financial freedom …</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Childhood — the first student period (with cognitive elevation, trust endorsement, influence-shaping and circle transformation as the core essential purposes) — the period with business as its core 【the period of the beginning of sojourning】 — the period with capital as its core — the period of complete financial freedom — the second student period (academic research, further study abroad, study tours) — the period after financial freedom …</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divides life into several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macro periods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showing the Author’s long-term planning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rhythm and staging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Each period has its own core task, akin to Article 63 【The Stages of the Financial Ark】 and Article 54 【Focus at Each Stage】. This article manifests the Author’s outlook on life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long-termism with alternation of tension and relaxation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54, Article 63, Article 70.</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5"/>
    <w:bookmarkStart w:id="106" w:name="X8ce45aa6385335cd39af65dd07bf4db90b235f7"/>
    <w:p>
      <w:pPr>
        <w:pStyle w:val="Heading3"/>
        <w:spacing w:after="120" w:line="312" w:lineRule="auto"/>
        <w:jc w:val="left"/>
      </w:pPr>
      <w:r>
        <w:rPr>
          <w:rFonts w:ascii="DejaVu Serif" w:hAnsi="DejaVu Serif" w:eastAsia="Noto Serif CJK SC"/>
          <w:color w:val="000000"/>
          <w:sz w:val="26"/>
        </w:rPr>
        <w:t xml:space="preserve">Article 63 【Division of the Macro Periods and Stages of Building the Financial Ark】</w:t>
      </w:r>
    </w:p>
    <w:p>
      <w:pPr>
        <w:pStyle w:val="FirstParagraph"/>
        <w:spacing w:after="120" w:line="312" w:lineRule="auto"/>
      </w:pPr>
      <w:r>
        <w:rPr>
          <w:rFonts w:ascii="DejaVu Serif" w:hAnsi="DejaVu Serif" w:eastAsia="Noto Serif CJK SC"/>
          <w:color w:val="000000"/>
          <w:sz w:val="22"/>
        </w:rPr>
        <w:t xml:space="preserve">Working for others — the period of working alone for oneself (selling a single portion of time — folding time — replicating multiple portions of time: by making courses, subscription services, membership cards, etc.) — the team period (the period of engaging others to work for oneself) — the automation period (self-withdrawal) — the capital-operation period (using currency to obtain more currency — the period of doubling currency) — the period of establishing a private fund and retiring from the world — the period of writing books and establishing one’s doctrine.</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Working for others — the period of working alone for oneself (selling a single portion of time — folding time — replicating multiple portions of time: by making courses, subscription services, membership cards, etc.) — the team period (the period of engaging others to work for oneself) — the automation period (self-withdrawal) — the capital-operation period (using currency to obtain more currency — the period of doubling currency) — the period of establishing a private fund and retiring from the world — the period of writing books and establishing one’s doctrine.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ladder of building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Financial Ark</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working for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automation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capital operation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private funds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writing books and establishing one’s doctrine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displaying the Author’s financial-evolution path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from labor to capital, from personal effort to automation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57 【Income Sources】, Article 59 【The Business Model】 and Article 62 【The Periods of Life】. Wherever historical expressions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engaging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involved, they are understood in accordance with the express provision of the Charter’s terminology as relationships of cooperation and collaboration.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57, Article 59, Article 62, Article 21.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6"/>
    <w:bookmarkStart w:id="107" w:name="Xdbef4223a851fbaa62323c211ab156cf6f822ac"/>
    <w:p>
      <w:pPr>
        <w:pStyle w:val="Heading3"/>
        <w:spacing w:after="120" w:line="312" w:lineRule="auto"/>
        <w:jc w:val="left"/>
      </w:pPr>
      <w:r>
        <w:rPr>
          <w:rFonts w:ascii="DejaVu Serif" w:hAnsi="DejaVu Serif" w:eastAsia="Noto Serif CJK SC"/>
          <w:color w:val="000000"/>
          <w:sz w:val="26"/>
        </w:rPr>
        <w:t xml:space="preserve">Article 64 【Enumeration of General Action-Principle Models】</w:t>
      </w:r>
    </w:p>
    <w:p>
      <w:pPr>
        <w:pStyle w:val="FirstParagraph"/>
        <w:spacing w:after="120" w:line="312" w:lineRule="auto"/>
      </w:pPr>
      <w:r>
        <w:rPr>
          <w:rFonts w:ascii="DejaVu Serif" w:hAnsi="DejaVu Serif" w:eastAsia="Noto Serif CJK SC"/>
          <w:color w:val="000000"/>
          <w:sz w:val="22"/>
        </w:rPr>
        <w:t xml:space="preserve">In principle, planning, organizing and implementing action are taken on the baseline of not contravening the provisions of the criminal law relating to the possibility of a fixed-term liberty-restricting punishment of a statutory maximum of 10 years or more, a life liberty-restricting punishment, lifelong deprivation of political rights, or confiscation of property (for the specific content see Appendix 1), except in any of the following circumstances: (1) where, for the sake of long-term interests and the principle of long-termism, medium- and short-term interests are given up for long-term interests, and with the final goal as the orientation, the strategic development guideline of a life stage is changed by concretely analyzing specific problems; (2) where the plan or guideline of action is changed in order to comply with mandatory, severely punitive terms of an agreement or contract; (3) where it is changed in order to comply with a resolution of the shareholders’ meeting established on its own by the internal members of a corporate legal-person entity and agreed upon by the core shareholders in good faith; (4) where it is changed in order to comply with a resolution of the shareholders’ meeting jointly established with the capital side and the personnel of financial institutions and agreed upon by all parties in good faith; (5) other circumstances which upon review are considered to require concrete analysis of specific problems.</w:t>
      </w:r>
    </w:p>
    <w:tbl>
      <w:tblPr>
        <w:tblStyle w:val="Table"/>
        <w:tblW w:type="pct" w:w="500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5"/>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principle, planning, organizing and implementing action are taken on the baseline of not contravening the provisions of the criminal law relating to the possibility of a fixed-term liberty-restricting punishment of a statutory maximum of 10 years or more, a life liberty-restricting punishment, lifelong deprivation of political rights, or confiscation of property, except in any of the following circumstances: (1) where, for the sake of long-term interests and the principle of long-termism, medium- and short-term interests are given up for long-term interests, and with the final goal as the orientation, the strategic development guideline of a life stage is changed by concretely analyzing specific problems; (2) where the plan or guideline of action is changed in order to comply with mandatory, severely punitive terms of an agreement or contract; (3) where it is changed in order to comply with a resolution of the shareholders’ meeting established on its own by the internal members of a corporate legal-person entity and agreed upon by the core shareholders in good faith; (4) where it is changed in order to comply with a resolution of the shareholders’ meeting jointly established with the capital side and the personnel of financial institutions and agreed upon by all parties in good faith; (5) other circumstances which upon review are considered to require concrete analysis of specific problems …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baseline and exceptions of general action principles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with the baseline of not contravening the punishments of ten years or more, life imprisonment, deprivation of political rights and confiscation of property, while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 interests, mandatory agreements, shareholders’ consensus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 like serve as adjustable exceptions.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Articles 12 to 16 (the baseline of life), Article 65 【Action Procedures】 and Article 125 【Response to Legal Amendment】; it is the Author’s general rule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baseline–flexibility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action.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12 to 16, Article 65, Article 125.</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7"/>
    <w:bookmarkStart w:id="108" w:name="article-65-general-action-procedures"/>
    <w:p>
      <w:pPr>
        <w:pStyle w:val="Heading3"/>
        <w:spacing w:after="120" w:line="312" w:lineRule="auto"/>
        <w:jc w:val="left"/>
      </w:pPr>
      <w:r>
        <w:rPr>
          <w:rFonts w:ascii="DejaVu Serif" w:hAnsi="DejaVu Serif" w:eastAsia="Noto Serif CJK SC"/>
          <w:color w:val="000000"/>
          <w:sz w:val="26"/>
        </w:rPr>
        <w:t xml:space="preserve">Article 65 【General Action Procedures】</w:t>
      </w:r>
    </w:p>
    <w:p>
      <w:pPr>
        <w:pStyle w:val="FirstParagraph"/>
        <w:spacing w:after="120" w:line="312" w:lineRule="auto"/>
      </w:pPr>
      <w:r>
        <w:rPr>
          <w:rFonts w:ascii="DejaVu Serif" w:hAnsi="DejaVu Serif" w:eastAsia="Noto Serif CJK SC"/>
          <w:color w:val="000000"/>
          <w:sz w:val="22"/>
        </w:rPr>
        <w:t xml:space="preserve">People-oriented, open decision-making by mental models and rational analysis; there is no fully universal specific procedural given process.</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1"/>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People-oriented, open decision-making by mental models and rational analysis; there is no fully universal specific procedural given process.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states that the Author’s action has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fixed procedure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taking only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people-orientedness, mental models and rational analysis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method of open decision-making.</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25 【Case-by-Case Deliberation】 and Article 75 【Decision-Making by Mental Models】, showing the Author’s style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flexible decision-making under the guidance of principles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25, Article 74, Article 75.</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8"/>
    <w:bookmarkStart w:id="109" w:name="X0252f2f17bdb3eda9b0ff0f9a843a0cd596fa04"/>
    <w:p>
      <w:pPr>
        <w:pStyle w:val="Heading3"/>
        <w:spacing w:after="120" w:line="312" w:lineRule="auto"/>
        <w:jc w:val="left"/>
      </w:pPr>
      <w:r>
        <w:rPr>
          <w:rFonts w:ascii="DejaVu Serif" w:hAnsi="DejaVu Serif" w:eastAsia="Noto Serif CJK SC"/>
          <w:color w:val="000000"/>
          <w:sz w:val="26"/>
        </w:rPr>
        <w:t xml:space="preserve">Article 66 【The Stage-by-Stage Application of Reference Action Models, Thinking, Cognition and Modes of Thought for Operational and Capital Activities】</w:t>
      </w:r>
    </w:p>
    <w:p>
      <w:pPr>
        <w:numPr>
          <w:ilvl w:val="0"/>
          <w:numId w:val="1016"/>
        </w:numPr>
        <w:spacing w:after="120" w:line="312" w:lineRule="auto"/>
      </w:pPr>
      <w:r>
        <w:rPr>
          <w:rFonts w:ascii="DejaVu Serif" w:hAnsi="DejaVu Serif" w:eastAsia="Noto Serif CJK SC"/>
          <w:color w:val="000000"/>
          <w:sz w:val="22"/>
        </w:rPr>
        <w:t xml:space="preserve">Before the goal of an annual income of ten million is achieved: ① action planning (MVP – business modeling) – ② legal review (first including a review of the upper limit of criminal liability, then including a review of the upper limit of civil liability, and finally possibly including a review of the upper limit of liability under specific laws and detailed rules*) – ③ industry-regulation review – ④ review of contract and agreement terms – ⑤ taking action – ⑥ reflection and summary – ⑦ review to form a text.</w:t>
      </w:r>
    </w:p>
    <w:p>
      <w:pPr>
        <w:numPr>
          <w:ilvl w:val="0"/>
          <w:numId w:val="1016"/>
        </w:numPr>
        <w:spacing w:after="120" w:line="312" w:lineRule="auto"/>
      </w:pPr>
      <w:r>
        <w:rPr>
          <w:rFonts w:ascii="DejaVu Serif" w:hAnsi="DejaVu Serif" w:eastAsia="Noto Serif CJK SC"/>
          <w:color w:val="000000"/>
          <w:sz w:val="22"/>
        </w:rPr>
        <w:t xml:space="preserve">After the goal of an annual income of ten million is achieved: ① action planning (MVP – business modeling) – ② legal review (first including a review of the upper limit of criminal liability, then including a review of the upper limit of civil liability, and finally possibly including a review of the upper limit of liability under specific laws and detailed rules</w:t>
      </w:r>
      <w:r>
        <w:rPr>
          <w:rFonts w:ascii="DejaVu Serif" w:hAnsi="DejaVu Serif" w:eastAsia="Noto Serif CJK SC"/>
          <w:i/>
          <w:iCs/>
          <w:color w:val="000000"/>
          <w:sz w:val="22"/>
        </w:rPr>
        <w:t xml:space="preserve">) – ③ industry-regulation review – ④ ethical review – ⑤ review of contract and agreement terms – ⑥ business standardization – ⑦ business team-ization, departmentalization and segmentation – ⑧ reflection and summary – ⑨ review to form a standardized text. (3) After one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Wang Jianlin-style small goal</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is achieved: ① business-model restructuring + redesign of the marketing display surface – ② legal review (first including a review of the upper limit of criminal liability, then including a review of the upper limit of civil liability, and finally possibly including a review of the upper limit of liability under specific laws and detailed rules</w:t>
      </w:r>
      <w:r>
        <w:rPr>
          <w:rFonts w:ascii="DejaVu Serif" w:hAnsi="DejaVu Serif" w:eastAsia="Noto Serif CJK SC"/>
          <w:color w:val="000000"/>
          <w:sz w:val="22"/>
        </w:rPr>
        <w:t xml:space="preserve">) – ③ industry-regulation review – ④ ethical review – ⑤ review of contract and agreement terms – ⑥ taking action – ⑦ reflection and summary – ⑧ review to form a text. (4) After ten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achieved: ① equity design and equity investment – business-model restructuring – ② legal review (first including a review of the upper limit of criminal liability, then including a review of the upper limit of civil liability, and finally possibly including a review of the upper limit of liability under specific laws and detailed rules) – ③ industry-regulation review – ④ ethical review – ⑤ review of contract and agreement terms – ⑥ strategic direction – ⑦ reflection and summary – ⑧ review to form a text. (5) After one hundred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achieved: ① policy evaluation – ② equity design – ③ fine-tuning of the business model – ④ legal review (first including a review of the upper limit of criminal liability, then including a review of the upper limit of civil liability, and finally possibly including a review of the upper limit of liability under specific laws and detailed rules) – ⑤ industry-regulation review – ⑥ ethical review – ⑦ review of contract and agreement terms – ⑧ strategic direction – ⑨ reflection and summary – ⑩ review to form a text. (6) After one hundred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achieved: national destiny – policy – equity – fine-tuning of the business model – legal review (first including a review of the upper limit of criminal liability, then including a review of the upper limit of civil liability, and finally possibly including a review of the upper limit of liability under specific laws and detailed rules) – industry-regulation review – ⑥ ethical review – ⑦ review of contract and agreement terms – strategic direction – ⑨ reflection and summary – ⑩ review to form a text. (7) After one thousand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achieved: the destiny of mankind – national destiny – policy – equity – fine-tuning of the business model – legal review (first including a review of the upper limit of criminal liability, then including a review of the upper limit of civil liability, and finally possibly including a review of the upper limit of liability under specific laws and detailed rules) – industry-regulation review – ⑥ ethical review – ⑦ review of contract and agreement terms – strategic direction – ⑨ reflection and summary – ⑩ review to form a text. (8) – corporate group-ization, internationalization, globalization, online-ization, digitalization and ecologicalization – conducting portfolio investment – establishing a global international private-fund group legal person operated by an individual natural person.</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3"/>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makes reference provisions, applicable by stage, on the action models, thinking, cognition and modes of thought of operational and capital activities;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stage-by-stage thinking guide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operational and capital activities, showing that different stages should be matched with different modes of thinking.</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59 【The Business Model】 and Article 62 【The Periods of Life】; it is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adapting to the times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59, Article 62, Article 74.</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9"/>
    <w:bookmarkStart w:id="111" w:name="X033b24335a54bf4998ba3ca1d4ba322e7fa2c43"/>
    <w:p>
      <w:pPr>
        <w:pStyle w:val="Heading3"/>
        <w:spacing w:after="120" w:line="312" w:lineRule="auto"/>
        <w:jc w:val="left"/>
      </w:pPr>
      <w:r>
        <w:rPr>
          <w:rFonts w:ascii="DejaVu Serif" w:hAnsi="DejaVu Serif" w:eastAsia="Noto Serif CJK SC"/>
          <w:color w:val="000000"/>
          <w:sz w:val="26"/>
        </w:rPr>
        <w:t xml:space="preserve">Article 67 【Rejection of Any Negative Labeling of the Author by Others】</w:t>
      </w:r>
    </w:p>
    <w:p>
      <w:pPr>
        <w:pStyle w:val="FirstParagraph"/>
        <w:spacing w:after="120" w:line="312" w:lineRule="auto"/>
      </w:pPr>
      <w:r>
        <w:rPr>
          <w:rFonts w:ascii="DejaVu Serif" w:hAnsi="DejaVu Serif" w:eastAsia="Noto Serif CJK SC"/>
          <w:color w:val="000000"/>
          <w:sz w:val="22"/>
        </w:rPr>
        <w:t xml:space="preserve">At all times, do not label any person — including oneself and others, even a head of state — by words, vocabulary or any other form (including sanctification and negative labeling), for the following purposes: to prompt all parties to live positively; (1) to show respect for the Author and others; (2) to stimulate the positive drive in the human nature of any person; (3) to develop the positive potential of learning and exploration of persons (including the Author and the counterpart); (4) to benefit the healthy psychological development of persons (including the Author and the counterpart); (5) any person is non-sacred, and the fundamental, primary difference lies in the different ways of viewing and interpreting the world; (6) other reasons not listed above.</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all times, do not label any person — including oneself and others, even a head of state — by words, vocabulary or any other form (including sanctification and negative labeling), for the following purposes: to prompt all parties to live positively; (1) to show respect for the Author and others; (2) to stimulate the positive drive in the human nature of any person; (3) to develop the positive potential of learning and exploration of persons (including the Author and the counterpart); (4) to benefit the healthy psychological development of persons (including the Author and the counterpart); (5) any person is non-sacred, and the fundamental, primary difference lies in the different ways of viewing and interpreting the world …</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anti-labeling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do not label persons by words or any form (whether sanctification or stigmatization), so as to prompt all parties to live positively.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99 【Treating Others with an Equal Attitude】, Article 118 【Equal Respect】 and Article 115 【Independence and Individualization】; it embodies the Author’s philosophy of dealings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respecting without following blindly, being equal yet sober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44, Article 99, Article 115, Article 118.</w:t>
            </w:r>
          </w:p>
        </w:tc>
      </w:tr>
      <w:tr>
        <w:tc>
          <w:tcPr/>
          <w:p>
            <w:pPr>
              <w:pStyle w:val="Compact"/>
              <w:spacing w:after="40" w:line="288" w:lineRule="auto"/>
            </w:pPr>
          </w:p>
        </w:tc>
      </w:tr>
      <w:tr>
        <w:tc>
          <w:tcPr/>
          <w:p>
            <w:pPr>
              <w:pStyle w:val="Heading2"/>
              <w:spacing w:after="40" w:line="288" w:lineRule="auto"/>
              <w:jc w:val="left"/>
            </w:pPr>
            <w:bookmarkStart w:id="110" w:name="X37e0db1f084fc96a87506c001e88cc9f11bec1e"/>
            <w:r>
              <w:rPr>
                <w:rFonts w:ascii="DejaVu Serif" w:hAnsi="DejaVu Serif" w:eastAsia="Noto Sans CJK SC"/>
                <w:color w:val="000000"/>
                <w:sz w:val="19"/>
              </w:rPr>
              <w:t xml:space="preserve">Volume Seven — The Chapter on Debt Repayment</w:t>
            </w:r>
            <w:bookmarkEnd w:id="110"/>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1"/>
    <w:bookmarkStart w:id="112" w:name="article-68-the-essence-of-currency"/>
    <w:p>
      <w:pPr>
        <w:pStyle w:val="Heading3"/>
        <w:spacing w:after="120" w:line="312" w:lineRule="auto"/>
        <w:jc w:val="left"/>
      </w:pPr>
      <w:r>
        <w:rPr>
          <w:rFonts w:ascii="DejaVu Serif" w:hAnsi="DejaVu Serif" w:eastAsia="Noto Serif CJK SC"/>
          <w:color w:val="000000"/>
          <w:sz w:val="26"/>
        </w:rPr>
        <w:t xml:space="preserve">Article 68 【The Essence of Currency】</w:t>
      </w:r>
    </w:p>
    <w:p>
      <w:pPr>
        <w:pStyle w:val="FirstParagraph"/>
        <w:spacing w:after="120" w:line="312" w:lineRule="auto"/>
      </w:pPr>
      <w:r>
        <w:rPr>
          <w:rFonts w:ascii="DejaVu Serif" w:hAnsi="DejaVu Serif" w:eastAsia="Noto Serif CJK SC"/>
          <w:color w:val="000000"/>
          <w:sz w:val="22"/>
        </w:rPr>
        <w:t xml:space="preserve">The essence of currency is the exchange ratio of the proportion between the wish of one particular person and the wish of another particular person.</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1"/>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currency is the exchange ratio of the proportion between the wish of one particular person and the wish of another particular person.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Taking an essentialist perspective,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currency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exchange ratio of the proportion of wishes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stripping away its physical appearance and pointing directly at its exchange essence.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By clarifying the essence of currency, one knows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making money is satisfying others’ wishes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akin to Article 50, Article 51 【A Project Originates from Needs】 and Article 120 【Currency-Earning Models】.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50, Article 51, Article 69, Article 120.</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2"/>
    <w:bookmarkStart w:id="113" w:name="X950868253514ddf613891681056d2b02f694451"/>
    <w:p>
      <w:pPr>
        <w:pStyle w:val="Heading3"/>
        <w:spacing w:after="120" w:line="312" w:lineRule="auto"/>
        <w:jc w:val="left"/>
      </w:pPr>
      <w:r>
        <w:rPr>
          <w:rFonts w:ascii="DejaVu Serif" w:hAnsi="DejaVu Serif" w:eastAsia="Noto Serif CJK SC"/>
          <w:color w:val="000000"/>
          <w:sz w:val="26"/>
        </w:rPr>
        <w:t xml:space="preserve">Article 68-2 【Basic Principles of Debt Repayment】</w:t>
      </w:r>
    </w:p>
    <w:p>
      <w:pPr>
        <w:pStyle w:val="FirstParagraph"/>
        <w:spacing w:after="120" w:line="312" w:lineRule="auto"/>
      </w:pPr>
      <w:r>
        <w:rPr>
          <w:rFonts w:ascii="DejaVu Serif" w:hAnsi="DejaVu Serif" w:eastAsia="Noto Serif CJK SC"/>
          <w:color w:val="000000"/>
          <w:sz w:val="22"/>
        </w:rPr>
        <w:t xml:space="preserve">In establishing himself in the world, the Author takes good faith as an essential principle. As to all lawful debts confirmed by contract or by fact, he acknowledges their lawfulness and bears the obligation of repayment, never unlawfully canceling or denying them, holding that the responsibility of repayment is not to be shirked; this is the cornerstone of commercial activity and also a manifestation of personal-honor credit. *#This provision was added under Article 2, paragraph 1 of the Third Amendment, clarifying the core criterion of debt repayment, connecting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prudent promises, maximum good faith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Article 6 of this Charter, and consolidating the foundation of commercial credit#.</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establishing himself in the world, the Author takes good faith as an essential principle. As to all lawful debts confirmed by contract or by fact, he acknowledges their lawfulness and bears the obligation of repayment, never unlawfully canceling or denying them, holding that the responsibility of repayment is not to be shirked; this is the cornerstone of commercial activity and also a manifestation of personal-honor credit.</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Article 2, paragraph 1 of the Third Amendment.)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was added by the Third Amendment, establishing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basic principles of debt repayment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all lawful debts are acknowledged and repaid, never unlawfully denied. This is the Author’s financial declaration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standing in the world by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in the same lineage as Article 6 【Prudent Promises, Maximum Good Faith】.</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 provisions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debt provisions; Article 68-3 (tiered response), Article 68-4 (the effect of expected realization), Article 68-5 (preservation of evidence) and Article 68-6 (prior declaration) are its specific mechanisms. The principle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mechanism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mastering bad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two assist each other: toward the good-faith party, good faith; toward the bad-faith party, law (within lawful limits).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 Articles 68-3 to 68-6, Article 90 【The Principle of Good Faith】, the Third Amendment (Annex A.03.001).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3"/>
    <w:bookmarkStart w:id="114" w:name="X7e967651d3077be475c4545e16d248fafd43002"/>
    <w:p>
      <w:pPr>
        <w:pStyle w:val="Heading3"/>
        <w:spacing w:after="120" w:line="312" w:lineRule="auto"/>
        <w:jc w:val="left"/>
      </w:pPr>
      <w:r>
        <w:rPr>
          <w:rFonts w:ascii="DejaVu Serif" w:hAnsi="DejaVu Serif" w:eastAsia="Noto Serif CJK SC"/>
          <w:color w:val="000000"/>
          <w:sz w:val="26"/>
        </w:rPr>
        <w:t xml:space="preserve">Article 68-3 【Tiered Response Mechanism Based on the Creditor’s Communication Attitude】</w:t>
      </w:r>
    </w:p>
    <w:p>
      <w:pPr>
        <w:pStyle w:val="FirstParagraph"/>
        <w:spacing w:after="120" w:line="312" w:lineRule="auto"/>
      </w:pPr>
      <w:r>
        <w:rPr>
          <w:rFonts w:ascii="DejaVu Serif" w:hAnsi="DejaVu Serif" w:eastAsia="Noto Serif CJK SC"/>
          <w:color w:val="000000"/>
          <w:sz w:val="22"/>
        </w:rPr>
        <w:t xml:space="preserve">However, in order to maintain the good faith and harmony of commercial dealings and to optimize transaction costs, a tiered response mechanism is hereby established according to the creditor’s communication attitude: the friendly-and-collaborative tier: for a creditor who consistently upholds good faith and rational communication, repayment should be arranged with priority when the debt falls due, or convenience in performance should be granted on equal conditions, so as to nourish and consolidate a benignly interactive commercial ecology; the malicious-presumption tier: for one who, without factual basis, presumes and presses for the debt by maliciously goading, publicly insulting or defaming personality, the principle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effect of expected realization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established in Article 68-4 of this Charter applies. *#This provision was added under Article 2, paragraph 2 of the Third Amendment, distinguishing the creditor’s attitude through tiered response, balancing good-faith collaboration and risk prevention and control, and reducing the cost of commercial communication#.</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However, in order to maintain the good faith and harmony of commercial dealings and to optimize transaction costs, a tiered response mechanism is hereby established according to the creditor’s communication attitude: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the friendly-and-collaborative tier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for a creditor who consistently upholds good faith and rational communication, repayment should be arranged with priority when the debt falls due, or convenience in performance should be granted on equal conditions, so as to nourish and consolidate a benignly interactive commercial ecology;</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the malicious-presumption tier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for one who, without factual basis, presumes and presses for the debt by maliciously goading, publicly insulting or defaming personality, the principle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effect of expected realization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established in Article 68-4 of this Charter applies.</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Article 2, paragraph 2 of the Third Amendment.)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sets two tiers of response,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friendly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malicious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according to the creditor’s attitude: toward the good-faith one, priority repayment and convenience; toward the malicious one,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effect of expected realization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invoked. Its legislative purpose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determining the order by attitude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guiding benign interaction.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establishment of this article does not encourage defaulting, but is rather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responding to bad faith by rules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doubling the favor toward the good-faith and, toward the malicious, lawfully exercising the right to choose the order of performance (see Article 68-4 for details). It must be read together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proviso</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68-4, strictly observing statutory priority rights and contractual stipulations.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68-2, Article 68-4, Article 68-5, Article 68-6.</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4"/>
    <w:bookmarkStart w:id="115" w:name="X085e7f0286486d82006e330048320420c659957"/>
    <w:p>
      <w:pPr>
        <w:pStyle w:val="Heading3"/>
        <w:spacing w:after="120" w:line="312" w:lineRule="auto"/>
        <w:jc w:val="left"/>
      </w:pPr>
      <w:r>
        <w:rPr>
          <w:rFonts w:ascii="DejaVu Serif" w:hAnsi="DejaVu Serif" w:eastAsia="Noto Serif CJK SC"/>
          <w:color w:val="000000"/>
          <w:sz w:val="26"/>
        </w:rPr>
        <w:t xml:space="preserve">Article 68-4 【Application of the Principle of the Effect of Expected Realization】</w:t>
      </w:r>
    </w:p>
    <w:p>
      <w:pPr>
        <w:pStyle w:val="Compact"/>
        <w:numPr>
          <w:ilvl w:val="0"/>
          <w:numId w:val="1017"/>
        </w:numPr>
        <w:spacing w:after="120" w:line="312" w:lineRule="auto"/>
      </w:pPr>
      <w:r>
        <w:rPr>
          <w:rFonts w:ascii="DejaVu Serif" w:hAnsi="DejaVu Serif" w:eastAsia="Noto Serif CJK SC"/>
          <w:color w:val="000000"/>
          <w:sz w:val="22"/>
        </w:rPr>
        <w:t xml:space="preserve">When the creditor exhibits the conduct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malicious-presumption tier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described in Article 68-3(2) of this Charter, the Author will invoke the principle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effect of expected realization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a systematic response. (b) Core purport: the creditor’s malicious expectation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Author intends to default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will, in the way the creditor least wishes to see, be realized at the level of rules — that is, the Author will, strictly within the maximum limit permitted by law, exercise his right as a debtor to choose the order of performance, and adjust the repayment order of that creditor’s debt to the last position. (c) Proviso clauses: the application of this principle must strictly observe the following boundaries that may not be crossed: it must not violate the mandatory provisions of law on the order of repayment of debts with statutory priority such as security interests; it must not violate the stipulations in an already concluded contract on a clear repayment deadline so as to constitute a statutory or contractual breach. What this principle adjusts is only the order and time of repayment, and absolutely not the responsibility and obligation of repayment. *#This provision was added under Article 2, paragraph 3 of the Third Amendment, clarifying the response rules toward malicious creditors, both safeguarding one’s own rights and interests and strictly observing the baseline of law and contract, so as to avoid the risk of breach#.</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 When the creditor exhibits the conduct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malicious-presumption tier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described in Article 68-3(2) of this Charter, the Author will invoke the principle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effect of expected realization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 systematic response. (b) Core purport: the creditor’s malicious expectation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Author intends to default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will, in the way the creditor least wishes to see, be realized at the level of rules — that is, the Author will, strictly within the maximum limit permitted by law, exercise his right as a debtor to choose the order of performance, and adjust the repayment order of that creditor’s debt to the last position. (c)</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Proviso clauses</w:t>
            </w:r>
            <w:r>
              <w:rPr>
                <w:rFonts w:ascii="DejaVu Serif" w:hAnsi="DejaVu Serif" w:eastAsia="Noto Sans CJK SC"/>
                <w:color w:val="000000"/>
                <w:sz w:val="19"/>
              </w:rPr>
              <w:t xml:space="preserve">: the application of this principle must strictly observe the following boundaries that may not be crossed: it must not violate the mandatory provisions of law on the order of repayment of debts with statutory priority such as security interests; it must not violate the stipulations in an already concluded contract on a clear repayment deadline so as to constitute a statutory or contractual breach. What this principle adjusts is only the order and time of repayment, and absolutely not the responsibility and obligation of repayment.</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Article 2, paragraph 3 of the Third Amendment.)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effect of expected realization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toward a maliciously presuming creditor, on his expectation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intending to default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realized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the level of rules in the way he least wishes to see (adjusting his order to the last position). This is the method of countering bad faith by rules, full of wit.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essence of this article lies in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proviso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item (c): it must not violate statutory priority rights and contractual stipulations,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what is adjusted is only the order and time of repayment, and absolutely not the responsibility and obligation of repayment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that is, the Author always acknowledges and performs the obligation of repayment, merely adjusting the order. This article is strictly confined within lawful limits and never oversteps the law, being a mutual restraint with Article 68-2’s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never unlawfully denying a debt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68-2, Article 68-3, Article 68-5, Article 68-6.</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5"/>
    <w:bookmarkStart w:id="116" w:name="X4d5903310c59cdc2cd956e176c3f8376afbf590"/>
    <w:p>
      <w:pPr>
        <w:pStyle w:val="Heading3"/>
        <w:spacing w:after="120" w:line="312" w:lineRule="auto"/>
        <w:jc w:val="left"/>
      </w:pPr>
      <w:r>
        <w:rPr>
          <w:rFonts w:ascii="DejaVu Serif" w:hAnsi="DejaVu Serif" w:eastAsia="Noto Serif CJK SC"/>
          <w:color w:val="000000"/>
          <w:sz w:val="26"/>
        </w:rPr>
        <w:t xml:space="preserve">Article 68-5 【Preservation of Evidence and Procedural Justice】</w:t>
      </w:r>
    </w:p>
    <w:p>
      <w:pPr>
        <w:pStyle w:val="FirstParagraph"/>
        <w:spacing w:after="120" w:line="312" w:lineRule="auto"/>
      </w:pPr>
      <w:r>
        <w:rPr>
          <w:rFonts w:ascii="DejaVu Serif" w:hAnsi="DejaVu Serif" w:eastAsia="Noto Serif CJK SC"/>
          <w:color w:val="000000"/>
          <w:sz w:val="22"/>
        </w:rPr>
        <w:t xml:space="preserve">The premise for applying the principle of Article 68-4 lies in the clarity of the facts and the justice of the procedure. The evidence of the creditor’s conduct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presumption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must be completely preserved through lawful forms such as audio recording, screenshots and documents. This procedure is not for provocation, but to ensure that the Author’s response stands on an indisputable foundation of facts and rules, in preparation for verification in any form of dispute. *#This provision was added under Article 2, paragraph 4 of the Third Amendment, emphasizing procedural justice and, through the preservation of lawful evidence, avoiding disputes and connecting with the requirements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supervision mechanism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Article 9 of this Charter#.</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premise for applying the principle of Article 68-4 lies in the clarity of the facts and the justice of the procedure. The evidence of the creditor’s conduct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malicious presumption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must be completely preserved through lawful forms such as audio recording, screenshots and documents. This procedure is not for provocation, but to ensure that the Author’s response stands on an indisputable foundation of facts and rules, in preparation for verification in any form of dispute.</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Article 2, paragraph 4 of the Third Amendment.)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procedural requirement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preservation of evidence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before applying the effect of expected realization, the evidence of the malicious conduct must be preserved by lawful means. Its purpose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protecting the rules by evidence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acquisition of evidence must be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lawful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(audio recording, screenshots, documents, etc.), akin to Article 9 【The Supervision Mechanism】 and Article 91 【The Good-Faith Exemption】. Procedural justice is the premise of the substantive response, and is the embodiment of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safeguarding rights in accordance with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68-4, Article 9, Article 91.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6"/>
    <w:bookmarkStart w:id="118" w:name="Xdb6e7d777d56b7a986dd9dc87a3d69dba4cb749"/>
    <w:p>
      <w:pPr>
        <w:pStyle w:val="Heading3"/>
        <w:spacing w:after="120" w:line="312" w:lineRule="auto"/>
        <w:jc w:val="left"/>
      </w:pPr>
      <w:r>
        <w:rPr>
          <w:rFonts w:ascii="DejaVu Serif" w:hAnsi="DejaVu Serif" w:eastAsia="Noto Serif CJK SC"/>
          <w:color w:val="000000"/>
          <w:sz w:val="26"/>
        </w:rPr>
        <w:t xml:space="preserve">Article 68-6 【Declaration, Specification and Notification of the Foregoing Debt-Repayment Principles】</w:t>
      </w:r>
    </w:p>
    <w:p>
      <w:pPr>
        <w:pStyle w:val="FirstParagraph"/>
        <w:spacing w:after="120" w:line="312" w:lineRule="auto"/>
      </w:pPr>
      <w:r>
        <w:rPr>
          <w:rFonts w:ascii="DejaVu Serif" w:hAnsi="DejaVu Serif" w:eastAsia="Noto Serif CJK SC"/>
          <w:color w:val="000000"/>
          <w:sz w:val="22"/>
        </w:rPr>
        <w:t xml:space="preserve">The Author’s commercial principles are open and honorable. At the beginning of, or at the inception of, a debt relationship, the Author may, in an appropriate manner that does not constitute a threat, declare or notify the other party of the response principles contained in Articles 68-3 to 68-5 of this Charter, affirming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attitude of communication is an important variable in the efficiency of repayment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in order to guide benign interaction from the source and reduce unnecessary friction and internal depletion. *#This provision was added under Article 2, paragraph 5 of the Third Amendment, clarifying the rules through prior notification, guiding benign communication from the source, and conforming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long-termist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thinking of this Charter (Article 7)#.</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commercial principles are open and honorable. At the beginning of, or at the inception of, a debt relationship, the Author may, in an appropriate manner that does not constitute a threat, declare or notify the other party of the response principles contained in Articles 68-3 to 68-5 of this Charter, affirming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attitude of communication is an important variable in the efficiency of repayment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in order to guide benign interaction from the source and reduce unnecessary friction and internal depletion.</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Article 2, paragraph 5 of the Third Amendment.)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prior notification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at the inception of a debt relationship, notifying the other party in an appropriate manner of the foregoing response principles, so as to guide benign communication from the source.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notification must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constitute a threat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showing the Author’s commercial character of being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open and honorable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This article corresponds from beginning to end with Article 68-2’s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standing in the world by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forming the complete debt-governance logic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 faith – mastery – notification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68-2 to 68-5, Article 6, Article 70.</w:t>
            </w:r>
          </w:p>
        </w:tc>
      </w:tr>
      <w:tr>
        <w:tc>
          <w:tcPr/>
          <w:p>
            <w:pPr>
              <w:pStyle w:val="Compact"/>
              <w:spacing w:after="40" w:line="288" w:lineRule="auto"/>
            </w:pPr>
          </w:p>
        </w:tc>
      </w:tr>
      <w:tr>
        <w:tc>
          <w:tcPr/>
          <w:p>
            <w:pPr>
              <w:pStyle w:val="Heading2"/>
              <w:spacing w:after="40" w:line="288" w:lineRule="auto"/>
              <w:jc w:val="left"/>
            </w:pPr>
            <w:bookmarkStart w:id="117" w:name="X029707284d3c171b0684fdaeb90129628444f31"/>
            <w:r>
              <w:rPr>
                <w:rFonts w:ascii="DejaVu Serif" w:hAnsi="DejaVu Serif" w:eastAsia="Noto Sans CJK SC"/>
                <w:color w:val="000000"/>
                <w:sz w:val="19"/>
              </w:rPr>
              <w:t xml:space="preserve">Volume Eight — The Chapter on Thinking Models</w:t>
            </w:r>
            <w:bookmarkEnd w:id="117"/>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8"/>
    <w:bookmarkStart w:id="119" w:name="article-69-the-essence-of-finance"/>
    <w:p>
      <w:pPr>
        <w:pStyle w:val="Heading3"/>
        <w:spacing w:after="120" w:line="312" w:lineRule="auto"/>
        <w:jc w:val="left"/>
      </w:pPr>
      <w:r>
        <w:rPr>
          <w:rFonts w:ascii="DejaVu Serif" w:hAnsi="DejaVu Serif" w:eastAsia="Noto Serif CJK SC"/>
          <w:color w:val="000000"/>
          <w:sz w:val="26"/>
        </w:rPr>
        <w:t xml:space="preserve">Article 69 【The Essence of Finance】</w:t>
      </w:r>
    </w:p>
    <w:p>
      <w:pPr>
        <w:pStyle w:val="FirstParagraph"/>
        <w:spacing w:after="120" w:line="312" w:lineRule="auto"/>
      </w:pPr>
      <w:r>
        <w:rPr>
          <w:rFonts w:ascii="DejaVu Serif" w:hAnsi="DejaVu Serif" w:eastAsia="Noto Serif CJK SC"/>
          <w:color w:val="000000"/>
          <w:sz w:val="22"/>
        </w:rPr>
        <w:t xml:space="preserve">The essence of finance is the intermediation of funds — the swapping of money (in essence, providing the money of persons who have a monetary surplus to persons who are short of money on the basis of a certain interest return and agreed rules.</w:t>
      </w:r>
    </w:p>
    <w:tbl>
      <w:tblPr>
        <w:tblStyle w:val="Table"/>
        <w:tblW w:type="pct" w:w="501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0"/>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finance is the intermediation of funds — the swapping of money (in essence, providing the money of persons who have a monetary surplus to persons who are short of money on the basis of a certain interest return and agreed rules).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Taking an essentialist perspective,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intermediation of funds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laying the cognitive foundation for the Author’s engagement in finance and private funds.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By clarifying the essence of finance, one knows that the essence of the financial industry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allocating funds by rules and credit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akin to Article 10 【Mission】 and Article 68 【The Essence of Currency】.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 Article 68, Article 120.</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9"/>
    <w:bookmarkStart w:id="120" w:name="article-70-long-termist-thinking"/>
    <w:p>
      <w:pPr>
        <w:pStyle w:val="Heading3"/>
        <w:spacing w:after="120" w:line="312" w:lineRule="auto"/>
        <w:jc w:val="left"/>
      </w:pPr>
      <w:r>
        <w:rPr>
          <w:rFonts w:ascii="DejaVu Serif" w:hAnsi="DejaVu Serif" w:eastAsia="Noto Serif CJK SC"/>
          <w:color w:val="000000"/>
          <w:sz w:val="26"/>
        </w:rPr>
        <w:t xml:space="preserve">Article 70 【Long-Termist Thinking】</w:t>
      </w:r>
    </w:p>
    <w:p>
      <w:pPr>
        <w:pStyle w:val="FirstParagraph"/>
        <w:spacing w:after="120" w:line="312" w:lineRule="auto"/>
      </w:pPr>
      <w:r>
        <w:rPr>
          <w:rFonts w:ascii="DejaVu Serif" w:hAnsi="DejaVu Serif" w:eastAsia="Noto Serif CJK SC"/>
          <w:color w:val="000000"/>
          <w:sz w:val="22"/>
        </w:rPr>
        <w:t xml:space="preserve">In carrying out any conduct, one should consider long-term interests and uphold long-termism.</w:t>
      </w:r>
    </w:p>
    <w:tbl>
      <w:tblPr>
        <w:tblStyle w:val="Table"/>
        <w:tblW w:type="pct" w:w="501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9"/>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carrying out any conduct, one should consider long-term interests and uphold long-termism.</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 general rule of action — in all matters, long-term interests are given weight.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 concentrated declaration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repeatedly appearing throughout the text (Article 1, item (20); Article 6; Article 64; Article 118); it is the time scale of all the Author’s decision-making.</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 Article 64, Article 28.</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0"/>
    <w:bookmarkStart w:id="121" w:name="Xd6eb63059e2e8b31c18123848dbcc89e91a3d6b"/>
    <w:p>
      <w:pPr>
        <w:pStyle w:val="Heading3"/>
        <w:spacing w:after="120" w:line="312" w:lineRule="auto"/>
        <w:jc w:val="left"/>
      </w:pPr>
      <w:r>
        <w:rPr>
          <w:rFonts w:ascii="DejaVu Serif" w:hAnsi="DejaVu Serif" w:eastAsia="Noto Serif CJK SC"/>
          <w:color w:val="000000"/>
          <w:sz w:val="26"/>
        </w:rPr>
        <w:t xml:space="preserve">Article 71 【Positioning-Ism and Market-Making Thinking】</w:t>
      </w:r>
    </w:p>
    <w:p>
      <w:pPr>
        <w:pStyle w:val="FirstParagraph"/>
        <w:spacing w:after="120" w:line="312" w:lineRule="auto"/>
      </w:pPr>
      <w:r>
        <w:rPr>
          <w:rFonts w:ascii="DejaVu Serif" w:hAnsi="DejaVu Serif" w:eastAsia="Noto Serif CJK SC"/>
          <w:color w:val="000000"/>
          <w:sz w:val="22"/>
        </w:rPr>
        <w:t xml:space="preserve">In doing any planning activity or carrying out action, one should have the mindset of resource integration and positioning, and uphold the mode of thinking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nothing need be owned by me, yet everything may (can or possibly) be used by 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doing any planning activity or carrying out action, one should have the mindset of resource integration and positioning, and uphold the mode of thinking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nothing need be owned by me, yet everything may (can or possibly) be used by 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thinking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positioning and market-making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with emphasis on resource integration and strategic positioning,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seeking ownership, but seeking use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11 【The Ability to Make Others Act while Empty-Handed】, Article 27 【The Most Core Action】 and Article 80 【The Essence of the Game of Life】; it is the core of the Author’s thinking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asset-lightness and emphasis on integration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11, Article 27, Article 80.</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1"/>
    <w:bookmarkStart w:id="122" w:name="article-72-altruistic-thinking"/>
    <w:p>
      <w:pPr>
        <w:pStyle w:val="Heading3"/>
        <w:spacing w:after="120" w:line="312" w:lineRule="auto"/>
        <w:jc w:val="left"/>
      </w:pPr>
      <w:r>
        <w:rPr>
          <w:rFonts w:ascii="DejaVu Serif" w:hAnsi="DejaVu Serif" w:eastAsia="Noto Serif CJK SC"/>
          <w:color w:val="000000"/>
          <w:sz w:val="26"/>
        </w:rPr>
        <w:t xml:space="preserve">Article 72 【Altruistic Thinking】</w:t>
      </w:r>
    </w:p>
    <w:p>
      <w:pPr>
        <w:pStyle w:val="FirstParagraph"/>
        <w:spacing w:after="120" w:line="312" w:lineRule="auto"/>
      </w:pPr>
      <w:r>
        <w:rPr>
          <w:rFonts w:ascii="DejaVu Serif" w:hAnsi="DejaVu Serif" w:eastAsia="Noto Serif CJK SC"/>
          <w:color w:val="000000"/>
          <w:sz w:val="22"/>
        </w:rPr>
        <w:t xml:space="preserve">When helping others, genuinely solve their problems; in the course of the action of solving problems, harbor no selfishness of private expectation, being selfless and altruistic.</w:t>
      </w:r>
    </w:p>
    <w:tbl>
      <w:tblPr>
        <w:tblStyle w:val="Table"/>
        <w:tblW w:type="pct" w:w="502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4"/>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helping others, genuinely solve their problems; in the course of the action of solving problems, harbor no selfishness of private expectation, being selfless and altruistic.</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helping must be genuine, without selfishness, reaching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selfless 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73 【Win-Win-Ism】, Article 111 【Maximizing Altruism】 and Article 56 【Gratitude】; it is the expression in thought of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undertone.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73, Article 111, Article 113.</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2"/>
    <w:bookmarkStart w:id="123" w:name="article-73-win-win-thinking"/>
    <w:p>
      <w:pPr>
        <w:pStyle w:val="Heading3"/>
        <w:spacing w:after="120" w:line="312" w:lineRule="auto"/>
        <w:jc w:val="left"/>
      </w:pPr>
      <w:r>
        <w:rPr>
          <w:rFonts w:ascii="DejaVu Serif" w:hAnsi="DejaVu Serif" w:eastAsia="Noto Serif CJK SC"/>
          <w:color w:val="000000"/>
          <w:sz w:val="26"/>
        </w:rPr>
        <w:t xml:space="preserve">Article 73 【Win-Win Thinking】</w:t>
      </w:r>
    </w:p>
    <w:p>
      <w:pPr>
        <w:pStyle w:val="FirstParagraph"/>
        <w:spacing w:after="120" w:line="312" w:lineRule="auto"/>
      </w:pPr>
      <w:r>
        <w:rPr>
          <w:rFonts w:ascii="DejaVu Serif" w:hAnsi="DejaVu Serif" w:eastAsia="Noto Serif CJK SC"/>
          <w:color w:val="000000"/>
          <w:sz w:val="22"/>
        </w:rPr>
        <w:t xml:space="preserve">In making a decision, one should consider the maximized attainment and realization of the wishes of all parties, and keep selfishness minimized (even reaching the state of selfless altruism).</w:t>
      </w:r>
    </w:p>
    <w:tbl>
      <w:tblPr>
        <w:tblStyle w:val="Table"/>
        <w:tblW w:type="pct" w:w="502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making a decision, one should consider the maximized attainment and realization of the wishes of all parties, and keep selfishness minimized (even reaching the state of selfless altruism).</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win-win-ism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decisions take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maximized attainment of the wishes of all parties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their criterion, with selfishness minimized.</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1-2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universal win-win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Article 72 【Altruism】 and Article 35 【Equal Exchange】; it is the Author’s business ethic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 and win-win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72, Article 35.</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3"/>
    <w:bookmarkStart w:id="124" w:name="X6a5102575fb4bdc1b72c50351bab13021784e34"/>
    <w:p>
      <w:pPr>
        <w:pStyle w:val="Heading3"/>
        <w:spacing w:after="120" w:line="312" w:lineRule="auto"/>
        <w:jc w:val="left"/>
      </w:pPr>
      <w:r>
        <w:rPr>
          <w:rFonts w:ascii="DejaVu Serif" w:hAnsi="DejaVu Serif" w:eastAsia="Noto Serif CJK SC"/>
          <w:color w:val="000000"/>
          <w:sz w:val="26"/>
        </w:rPr>
        <w:t xml:space="preserve">Article 74 【The Principle of Flexibility in Invoking Techniques (Methods, Processes, Steps) and Instruments (Tools, Resources)】</w:t>
      </w:r>
    </w:p>
    <w:p>
      <w:pPr>
        <w:pStyle w:val="FirstParagraph"/>
        <w:spacing w:after="120" w:line="312" w:lineRule="auto"/>
      </w:pPr>
      <w:r>
        <w:rPr>
          <w:rFonts w:ascii="DejaVu Serif" w:hAnsi="DejaVu Serif" w:eastAsia="Noto Serif CJK SC"/>
          <w:color w:val="000000"/>
          <w:sz w:val="22"/>
        </w:rPr>
        <w:t xml:space="preserve">In anyone’s planning, the principle of flexibility should be upheld in the invocation of techniques (methods, processes, steps) and instruments (tools, resources); on the basis of being result-oriented, one holds firmly to the invariable essential goal (the free life), and, in the face of non-core interests, should act flexibly, planning case by case when necessary.</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anyone’s planning, the principle of flexibility should be upheld in the invocation of techniques (methods, processes, steps) and instruments (tools, resources); on the basis of being result-oriented, one holds firmly to the invariable essential goal (the free life), and, in the face of non-core interests, should act flexibly, planning case by case when necessary.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flexibility of techniques and instruments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methods and tools may all be flexible; only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essential goal (the free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invariable.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25 【Case-by-Case Deliberation】 and Article 65 【No Fixed Procedure】, showing the Author’s wisdom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constant goal, flexible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25, Article 65, Article 81.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4"/>
    <w:bookmarkStart w:id="125" w:name="Xa576075570983d2a3b2fa81f122179e6e2d3985"/>
    <w:p>
      <w:pPr>
        <w:pStyle w:val="Heading3"/>
        <w:spacing w:after="120" w:line="312" w:lineRule="auto"/>
        <w:jc w:val="left"/>
      </w:pPr>
      <w:r>
        <w:rPr>
          <w:rFonts w:ascii="DejaVu Serif" w:hAnsi="DejaVu Serif" w:eastAsia="Noto Serif CJK SC"/>
          <w:color w:val="000000"/>
          <w:sz w:val="26"/>
        </w:rPr>
        <w:t xml:space="preserve">Article 75 【The Principle of Decision-Making by Mental Models】</w:t>
      </w:r>
    </w:p>
    <w:p>
      <w:pPr>
        <w:pStyle w:val="FirstParagraph"/>
        <w:spacing w:after="120" w:line="312" w:lineRule="auto"/>
      </w:pPr>
      <w:r>
        <w:rPr>
          <w:rFonts w:ascii="DejaVu Serif" w:hAnsi="DejaVu Serif" w:eastAsia="Noto Serif CJK SC"/>
          <w:color w:val="000000"/>
          <w:sz w:val="22"/>
        </w:rPr>
        <w:t xml:space="preserve">The Author relies on scientific and effective mental models to make decisions, cautiously reviewing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conceptual anchors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that others plant in him (generally by verbal means), and at all times makes decisions with his own and empirically effective scientific mental models.</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 relies on scientific and effective mental models to make decisions, cautiously reviewing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conceptual anchors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that others plant in him (generally by verbal means), and at all times makes decisions with his own and empirically effective scientific mental models.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deciding by mental models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with special emphasis 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anti-anchoring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guarding against others implanting ideas by words, deciding only by scientific models.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33 【Maximum Self-Determination, Anti-Preaching】 and Article 46 【Credit and Counter-Credit】; it is the decision-making guarantee of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autonomous rationality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 Article 46, Article 76.</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5"/>
    <w:bookmarkStart w:id="126" w:name="article-76-data-oriented-thinking"/>
    <w:p>
      <w:pPr>
        <w:pStyle w:val="Heading3"/>
        <w:spacing w:after="120" w:line="312" w:lineRule="auto"/>
        <w:jc w:val="left"/>
      </w:pPr>
      <w:r>
        <w:rPr>
          <w:rFonts w:ascii="DejaVu Serif" w:hAnsi="DejaVu Serif" w:eastAsia="Noto Serif CJK SC"/>
          <w:color w:val="000000"/>
          <w:sz w:val="26"/>
        </w:rPr>
        <w:t xml:space="preserve">Article 76 【Data-Oriented Thinking】</w:t>
      </w:r>
    </w:p>
    <w:p>
      <w:pPr>
        <w:pStyle w:val="FirstParagraph"/>
        <w:spacing w:after="120" w:line="312" w:lineRule="auto"/>
      </w:pPr>
      <w:r>
        <w:rPr>
          <w:rFonts w:ascii="DejaVu Serif" w:hAnsi="DejaVu Serif" w:eastAsia="Noto Serif CJK SC"/>
          <w:color w:val="000000"/>
          <w:sz w:val="22"/>
        </w:rPr>
        <w:t xml:space="preserve">The Author relies on scientific and effective data and information materials to make decisions, and uses data cautiously.</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3"/>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 relies on scientific and effective data and information materials to make decisions, and uses data cautiously.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data-oriented thinking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deciding by data, yet using data cautiously.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Together with Article 75 and Article 77 【Information Thinking】, it forms the three rules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rational decision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Using data cautiously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shows the Author’s sobriety in not blindly trusting data.</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75, Article 77, Article 9.</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6"/>
    <w:bookmarkStart w:id="127" w:name="article-77-information-thinking"/>
    <w:p>
      <w:pPr>
        <w:pStyle w:val="Heading3"/>
        <w:spacing w:after="120" w:line="312" w:lineRule="auto"/>
        <w:jc w:val="left"/>
      </w:pPr>
      <w:r>
        <w:rPr>
          <w:rFonts w:ascii="DejaVu Serif" w:hAnsi="DejaVu Serif" w:eastAsia="Noto Serif CJK SC"/>
          <w:color w:val="000000"/>
          <w:sz w:val="26"/>
        </w:rPr>
        <w:t xml:space="preserve">Article 77 【Information Thinking】</w:t>
      </w:r>
    </w:p>
    <w:p>
      <w:pPr>
        <w:pStyle w:val="FirstParagraph"/>
        <w:spacing w:after="120" w:line="312" w:lineRule="auto"/>
      </w:pPr>
      <w:r>
        <w:rPr>
          <w:rFonts w:ascii="DejaVu Serif" w:hAnsi="DejaVu Serif" w:eastAsia="Noto Serif CJK SC"/>
          <w:color w:val="000000"/>
          <w:sz w:val="22"/>
        </w:rPr>
        <w:t xml:space="preserve">At all times, be attentive to searching for information and cautiously verify its source and truthfulness; on that basis, starting from human nature and the thinking of supply and demand, design a commercial project, and start a business in the MVP manner.</w:t>
      </w:r>
    </w:p>
    <w:tbl>
      <w:tblPr>
        <w:tblStyle w:val="Table"/>
        <w:tblW w:type="pct" w:w="501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8"/>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all times, be attentive to searching for information and cautiously verify its source and truthfulness; on that basis, starting from human nature and the thinking of supply and demand, design a commercial project, and start a business in the MVP manner.</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information thinking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emphasizing the search for information, verifying its authenticity, relying on supply and demand, and starting up in the MVP manner.</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49 【The MVP Principle】, Article 76 and Article 86, showing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information as the basis of decision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49, Article 76, Article 86.</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7"/>
    <w:bookmarkStart w:id="128" w:name="X0718849ea36e6381060868f8395dab3e29f87c3"/>
    <w:p>
      <w:pPr>
        <w:pStyle w:val="Heading3"/>
        <w:spacing w:after="120" w:line="312" w:lineRule="auto"/>
        <w:jc w:val="left"/>
      </w:pPr>
      <w:r>
        <w:rPr>
          <w:rFonts w:ascii="DejaVu Serif" w:hAnsi="DejaVu Serif" w:eastAsia="Noto Serif CJK SC"/>
          <w:color w:val="000000"/>
          <w:sz w:val="26"/>
        </w:rPr>
        <w:t xml:space="preserve">Article 78 【The Ideal Upper Limit of Life’s Striving】</w:t>
      </w:r>
    </w:p>
    <w:p>
      <w:pPr>
        <w:pStyle w:val="FirstParagraph"/>
        <w:spacing w:after="120" w:line="312" w:lineRule="auto"/>
      </w:pPr>
      <w:r>
        <w:rPr>
          <w:rFonts w:ascii="DejaVu Serif" w:hAnsi="DejaVu Serif" w:eastAsia="Noto Serif CJK SC"/>
          <w:color w:val="000000"/>
          <w:sz w:val="22"/>
        </w:rPr>
        <w:t xml:space="preserve">The Author’s ideal upper limit of life is, starting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(human nature, human wishes, or human needs and their supply-and-demand relations), to establish, on the basis of founding a company (entrepreneurship), operating it as a team, and obtaining personal freedom through global sojourning-office, a globalized international private-fund company legal person or enterprise institution (of the nature of a private fundraising fund).</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ideal upper limit of life is, starting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(human nature, human wishes, or human needs and their supply-and-demand relations), to establish, on the basis of founding a company (entrepreneurship), operating it as a team, and obtaining personal freedom through global sojourning-office, a globalized international private-fund company legal person or enterprise institution (of the nature of a private fundraising fund).</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upper limit of striving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from entrepreneurial team-ization to the establishment of a globalized private-fund institution.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1-2, Article 8 and Article 79 【The Principled Lower Limit】, together forming the striving range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upper limit – lower limit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8, Article 79.</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8"/>
    <w:bookmarkStart w:id="129" w:name="X699e9c90a443c37db985afa5d7b4f93f20db336"/>
    <w:p>
      <w:pPr>
        <w:pStyle w:val="Heading3"/>
        <w:spacing w:after="120" w:line="312" w:lineRule="auto"/>
        <w:jc w:val="left"/>
      </w:pPr>
      <w:r>
        <w:rPr>
          <w:rFonts w:ascii="DejaVu Serif" w:hAnsi="DejaVu Serif" w:eastAsia="Noto Serif CJK SC"/>
          <w:color w:val="000000"/>
          <w:sz w:val="26"/>
        </w:rPr>
        <w:t xml:space="preserve">Article 79 【The Principled Lower Limit of the Author’s Striving in Life Action】</w:t>
      </w:r>
    </w:p>
    <w:p>
      <w:pPr>
        <w:pStyle w:val="FirstParagraph"/>
        <w:spacing w:after="120" w:line="312" w:lineRule="auto"/>
      </w:pPr>
      <w:r>
        <w:rPr>
          <w:rFonts w:ascii="DejaVu Serif" w:hAnsi="DejaVu Serif" w:eastAsia="Noto Serif CJK SC"/>
          <w:color w:val="000000"/>
          <w:sz w:val="22"/>
        </w:rPr>
        <w:t xml:space="preserve">The Author’s principled lower limit of life action is not to cause his own conduct actually to reach the degree related to the criminal law and its judicial interpretations (constituting a crime and/or involving deprivation of political rights), and to make decisions with consideration also for the interests of the team members.</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2"/>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principled lower limit of life action is not to cause his own conduct actually to reach the degree related to the criminal law and its judicial interpretations (constituting a crime and/or involving deprivation of political rights), and to make decisions with consideration also for the interests of the team members.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principled lower limit of striving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not touching the criminal law, and taking into account the interests of the team members.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7, Article 12 and Article 78; the words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into account the interests of the team members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 that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 and win-win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not discarded because of the lower limit.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78, Article 73.</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9"/>
    <w:bookmarkStart w:id="130" w:name="X2672b0fd6b6d8ecd4ae92400fe5f4c6e4c89fb5"/>
    <w:p>
      <w:pPr>
        <w:pStyle w:val="Heading3"/>
        <w:spacing w:after="120" w:line="312" w:lineRule="auto"/>
        <w:jc w:val="left"/>
      </w:pPr>
      <w:r>
        <w:rPr>
          <w:rFonts w:ascii="DejaVu Serif" w:hAnsi="DejaVu Serif" w:eastAsia="Noto Serif CJK SC"/>
          <w:color w:val="000000"/>
          <w:sz w:val="26"/>
        </w:rPr>
        <w:t xml:space="preserve">Article 80 【Cognition of the Essence of the Game of Life from Economic and Political Perspectives】</w:t>
      </w:r>
    </w:p>
    <w:p>
      <w:pPr>
        <w:pStyle w:val="FirstParagraph"/>
        <w:spacing w:after="120" w:line="312" w:lineRule="auto"/>
      </w:pPr>
      <w:r>
        <w:rPr>
          <w:rFonts w:ascii="DejaVu Serif" w:hAnsi="DejaVu Serif" w:eastAsia="Noto Serif CJK SC"/>
          <w:color w:val="000000"/>
          <w:sz w:val="22"/>
        </w:rPr>
        <w:t xml:space="preserve">From the political and economic perspectives, life is a game of occupying and distributing resources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cake-dividing game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by market-making one occupies a certain amount of stock resources, and then, by team-ization and reasonably distributing these resources to one’s followers,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altruism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brings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yet the whole process requires fairly rational and agile action over about five years, and the continuous maintenance of one’s position.</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From the political and economic perspectives, life is a game of occupying and distributing resources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cake-dividing game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by market-making one occupies a certain amount of stock resources, and then, by team-ization and reasonably distributing these resources to one’s followers,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brings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success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yet the whole process requires fairly rational and agile action over about five years, and the continuous maintenance of one’s position.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From a politico-economic perspective, this article reveals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game of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occupation and distribution of resources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where the way to success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market-making, team-ization and altruistic distribution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71 【Positioning and Market-Making】 and Article 120 【Currency-Earning Models】; it is yet another instance of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viewing life through essentialism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71, Article 120.</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0"/>
    <w:bookmarkStart w:id="131" w:name="Xc5180dbc09ed3bf7d06d50e610ad086ee565c44"/>
    <w:p>
      <w:pPr>
        <w:pStyle w:val="Heading3"/>
        <w:spacing w:after="120" w:line="312" w:lineRule="auto"/>
        <w:jc w:val="left"/>
      </w:pPr>
      <w:r>
        <w:rPr>
          <w:rFonts w:ascii="DejaVu Serif" w:hAnsi="DejaVu Serif" w:eastAsia="Noto Serif CJK SC"/>
          <w:color w:val="000000"/>
          <w:sz w:val="26"/>
        </w:rPr>
        <w:t xml:space="preserve">Article 81 【The Principle of an Action Model of Self-Formulated Standards】</w:t>
      </w:r>
    </w:p>
    <w:p>
      <w:pPr>
        <w:pStyle w:val="FirstParagraph"/>
        <w:spacing w:after="120" w:line="312" w:lineRule="auto"/>
      </w:pPr>
      <w:r>
        <w:rPr>
          <w:rFonts w:ascii="DejaVu Serif" w:hAnsi="DejaVu Serif" w:eastAsia="Noto Serif CJK SC"/>
          <w:color w:val="000000"/>
          <w:sz w:val="22"/>
        </w:rPr>
        <w:t xml:space="preserve">In any action of the Author, one should, starting from the essence, first plan, combining one’s own truest needs, and from a wholly scientific perspective, shielding out the words (evaluations, public opinion, etc.) of the groups of people whose ideal life-goal circles and interest orientations are not one’s own, independently formulate the standards of action (for example, a shopping list, a structural list for the procurement and configuration of specific subject matter); and thereafter purchase according to this text; the list should set out the following matters: (1) an enumeration of the names of the subject matters to be purchased; (2) the respective current amount to be used of the subject matters to be purchased; (3) the respective utility of the subject matters to be purchased and the reasoning explaining the minimum feasible necessity; (4) the respective description and reasoning of the subsequent conduction effects of the subject matters to be purchased.</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any action of the Author, one should, starting from the essence, first plan, combining one’s own truest needs, and from a wholly scientific perspective, shielding out the words (evaluations, public opinion, etc.) of the groups of people whose ideal life-goal circles and interest orientations are not one’s own, independently formulate the standards of action (for example, a shopping list, a structural list for the procurement and configuration of specific subject matter), and thereafter purchase according to this text; the list should set out the following matters: (1) an enumeration of the names of the subject matters to be purchased; (2) the respective current amount to be used of the subject matters to be purchased; (3) the respective utility of the subject matters to be purchased and the reasoning explaining the minimum feasible necessity; (4) the respective description and reasoning of the subsequent conduction effects of the subject matters to be purchased …</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action model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self-formulated standards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plan first in all matters, set standards, and act according to the standards, unmoved by others’ words.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 refinement of Article 49 【The Purchase MVP】, especially detailed 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matters the list should set out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 is akin to Article 33 【Anti-Preaching】 and Article 75 【Anti-Anchoring】.</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49, Article 33, Article 75.</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1"/>
    <w:bookmarkStart w:id="132" w:name="X419389548ad283d1dde0c1262a5ec0472a2ccbd"/>
    <w:p>
      <w:pPr>
        <w:pStyle w:val="Heading3"/>
        <w:spacing w:after="120" w:line="312" w:lineRule="auto"/>
        <w:jc w:val="left"/>
      </w:pPr>
      <w:r>
        <w:rPr>
          <w:rFonts w:ascii="DejaVu Serif" w:hAnsi="DejaVu Serif" w:eastAsia="Noto Serif CJK SC"/>
          <w:color w:val="000000"/>
          <w:sz w:val="26"/>
        </w:rPr>
        <w:t xml:space="preserve">Article 82 【Exemption from the Shopping-List Procedure of the Preceding Article When the Author’s Life Is Genuinely Under Substantial Threat】</w:t>
      </w:r>
    </w:p>
    <w:p>
      <w:pPr>
        <w:pStyle w:val="FirstParagraph"/>
        <w:spacing w:after="120" w:line="312" w:lineRule="auto"/>
      </w:pPr>
      <w:r>
        <w:rPr>
          <w:rFonts w:ascii="DejaVu Serif" w:hAnsi="DejaVu Serif" w:eastAsia="Noto Serif CJK SC"/>
          <w:color w:val="000000"/>
          <w:sz w:val="22"/>
        </w:rPr>
        <w:t xml:space="preserve">The specific exempting circumstances include: (1) being sentenced to and executed with the life penalty for contravening the life-penalty provisions of the criminal law; (2) possibly being killed on the spot because of the said conduct; (3) possibly dying because of meteorological causes as a result of it;</w:t>
      </w:r>
    </w:p>
    <w:p>
      <w:pPr>
        <w:pStyle w:val="Compact"/>
        <w:numPr>
          <w:ilvl w:val="0"/>
          <w:numId w:val="1018"/>
        </w:numPr>
        <w:spacing w:after="120" w:line="312" w:lineRule="auto"/>
      </w:pPr>
      <w:r>
        <w:rPr>
          <w:rFonts w:ascii="DejaVu Serif" w:hAnsi="DejaVu Serif" w:eastAsia="Noto Serif CJK SC"/>
          <w:color w:val="000000"/>
          <w:sz w:val="22"/>
        </w:rPr>
        <w:t xml:space="preserve">possibly dying because of geographical or geological disasters as a result of it; (5) possibly dying because of the occurrence of a traffic accident or the destruction of a vehicle as a result of it (vehicle failure, man-made traffic accident, good-faith or malicious); (6) possibly dying because a sudden or non-sudden disease (e.g., organ failure) fails to receive timely and/or effective treatment as a result of it; (7) where the body organs or vital signs emit abnormal signals as a result of it and may cause irreversible major damage to the Author’s body; (8) possibly being assassinated or killed as a result of it, by a specific group (e.g., a mafia organization) venting anger or taking revenge; (9) possibly dying because of the occurrence of gas, water or fire hazards as a result of it; (10) possibly dying because of excessive fatigue that fails to obtain effective relief and recovery as a result of it; (11) possibly dying because of major external or internal psychological pressure unbearable to the Author (which may be resolved through cognitive adjustment and state-of-mind management) that fails to obtain effective relief and recovery as a result of it; (12) other circumstances not listed above that may lead to death.</w:t>
      </w:r>
    </w:p>
    <w:tbl>
      <w:tblPr>
        <w:tblStyle w:val="Table"/>
        <w:tblW w:type="pct" w:w="502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the Author’s life is genuinely under substantial threat, the procedure of drawing up the shopping list of the preceding article may be exempted.</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sets for the preceding article the emergency exemption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threat to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when life is in critical danger, one is exempted from performing the list procedure.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Together with Article 40 【The Alcohol Exemption】 and Article 29 【Exceptional Circumstances】, it is the same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emergency discretion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81, Article 40, Article 29.</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2"/>
    <w:bookmarkStart w:id="134" w:name="Xe500dfb8982e097ebf6daa2a48a60b739376815"/>
    <w:p>
      <w:pPr>
        <w:pStyle w:val="Heading3"/>
        <w:spacing w:after="120" w:line="312" w:lineRule="auto"/>
        <w:jc w:val="left"/>
      </w:pPr>
      <w:r>
        <w:rPr>
          <w:rFonts w:ascii="DejaVu Serif" w:hAnsi="DejaVu Serif" w:eastAsia="Noto Serif CJK SC"/>
          <w:color w:val="000000"/>
          <w:sz w:val="26"/>
        </w:rPr>
        <w:t xml:space="preserve">Article 83 【Systematic Compilation of All Primary, Essential, Tangible and Intangible Subject Matters Pursued by the Individual or Humanity】</w:t>
      </w:r>
    </w:p>
    <w:p>
      <w:pPr>
        <w:pStyle w:val="FirstParagraph"/>
        <w:spacing w:after="120" w:line="312" w:lineRule="auto"/>
      </w:pPr>
      <w:r>
        <w:rPr>
          <w:rFonts w:ascii="DejaVu Serif" w:hAnsi="DejaVu Serif" w:eastAsia="Noto Serif CJK SC"/>
          <w:color w:val="000000"/>
          <w:sz w:val="22"/>
        </w:rPr>
        <w:t xml:space="preserve">Unless the law makes punitive measures for a particular prohibited matter (mandatory-requirement matter) and it infringes upon freedom and the right to life, any individual (having the power of choice) chooses not to comply. (The mechanism by which all punishments take effect is based on a person’s fear of possibly losing an existing subject matter of his own — the sense of gain and loss.) The existing corresponding subject matters of the sense of gain and loss are now summarized and set out as follows: (1) acting in compliance with a certain stipulation on the basis of a punitive measure infringing upon the right to life; (2) acting in compliance with a certain stipulation on the basis of a punitive measure infringing upon the right of the person; (3) acting in compliance with a certain stipulation on the basis of a punitive measure infringing upon freedom; (4) acting in compliance with a certain stipulation on the basis of a punitive measure infringing upon one’s own right to strategic self-determination; (5) acting in compliance with a certain stipulation on the basis of a punitive measure infringing upon existing property (currency or assets) or property rights (ownership; usufructuary rights: e.g., the right of residence; intellectual property rights IPRs: trademark rights, copyright, patent rights); acting in compliance with a certain stipulation on the basis of a punitive measure infringing upon existing non-property social rights (e.g., political rights: speech, publishing, assembly, association, etc.); (6) acting in compliance with a certain stipulation on the basis of a punitive measure infringing upon existing rights of credit, reputation and honor; (7) acting in compliance with a certain stipulation on the basis of a punitive measure infringing upon existing rights of portrait, privacy and other accessory-rights-of-the-person of the same type; (8) acting in compliance with a certain stipulation on the basis of a punitive measure infringing upon the possible right of choice of one’s future life; (9) acting in compliance with a certain stipulation on the basis of a punitive measure infringing upon one’s inner feelings and arousing one’s inner subjective negative emotions and feelings: paragraph 1. the sense of shame; paragraph 2. the sense of remorse (the subjective feeling of regret); paragraph 3. the sense of vexation; paragraph 4. the sense of self-reproach; paragraph 5. the sense of anxiety; paragraph 6. the sense of tension; paragraph 7. the sense of anger; paragraph 8. the sense of frustration; paragraph 9. the sense of sorrow; paragraph 10. the sense of pain; (10) acting in compliance with a certain stipulation on the basis of a punitive measure infringing upon items (1) to (9) of a person extremely close to oneself ⁶; (Note: ⁶ its scope is to be determined by the party himself (namely, the persons he truly cares about)).</w:t>
      </w:r>
    </w:p>
    <w:p>
      <w:pPr>
        <w:pStyle w:val="BodyText"/>
        <w:spacing w:after="120" w:line="312" w:lineRule="auto"/>
      </w:pPr>
      <w:r>
        <w:rPr>
          <w:rFonts w:ascii="DejaVu Serif" w:hAnsi="DejaVu Serif" w:eastAsia="Noto Serif CJK SC"/>
          <w:color w:val="000000"/>
          <w:sz w:val="22"/>
        </w:rPr>
        <w:t xml:space="preserve">Acting in compliance with a certain stipulation on the basis of maintaining one’s acquired honor; acting in compliance with a certain stipulation on the basis of maintaining an existing consensus spirit (e.g., the spirit of contract); acting in compliance with a certain stipulation on the basis of the following inner drive (internal driving force): paragraph 1. the party’s own joyful return — altruism; paragraph 2. the inner sense of mission; paragraph 3. the inner sense of love; paragraph 4. the inner sense of achievement; paragraph 5. the inner sense of responsibility; paragraph 6. the inner sense of pride; paragraph 7. the inner sense of glory; paragraph 8. the inner sense of participation; paragraph 9. the inner sense of acquisition; paragraph 10. the desire to explore and the curiosity to restore the whole original truth of an event; paragraph 11. the sense of moral superiority (the sense of justice); paragraph 12. the inner sense of honor; paragraph 13. the inner sense of loss (neutral feedback); paragraph 14. the inner sense of guilt (negative feedback); paragraph 15. the inner sense of crisis (negative feedback);</w:t>
      </w:r>
    </w:p>
    <w:p>
      <w:pPr>
        <w:pStyle w:val="Compact"/>
        <w:numPr>
          <w:ilvl w:val="0"/>
          <w:numId w:val="1019"/>
        </w:numPr>
        <w:spacing w:after="120" w:line="312" w:lineRule="auto"/>
      </w:pPr>
      <w:r>
        <w:rPr>
          <w:rFonts w:ascii="DejaVu Serif" w:hAnsi="DejaVu Serif" w:eastAsia="Noto Serif CJK SC"/>
          <w:color w:val="000000"/>
          <w:sz w:val="22"/>
        </w:rPr>
        <w:t xml:space="preserve">acting in compliance with a certain stipulation on the basis of the following external drive (external driving force): paragraph 1. the need for social praise (natural persons, legal-person organizations); paragraph 2. the need for the acknowledgment expressed by social honor certificates, medals and titles; paragraph 3. the need for others’ positive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labels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(e.g., generous); paragraph 4. the need for the sense of power, leading and pride of holding official office; paragraph 5. the need for the sense of presence, ritual, grandeur and excitement of participating in ceremonies; paragraph 6. the sense of gameplay, participation and interaction obtained from tiered and progressively strengthened mutual feedback: item 1 the sense of freshness and curiosity of first engaging in some external event or obtaining some fresh experience; item 2 the sense of acquisition obtained from acquiring some subject matter never before acquired; item 3 the need for encouragement from other subjects (natural persons, legal-person organizations); item 4 the sense of uniqueness and honor brought by membership-like identity; paragraph 7. the need for monetary returns (RMB ¥ yuan / time): item 1 the need for below 100; item 2 the need for 100–500; item 3 the need for 500–1,000; item 4 the need for 1,000–5,000; item 5 the need for 5,000–10,000; item 6 the need for 10,000–20,000; item 7 the need for 20,000–50,000; item 8 the need for 50,000–100,000; item 9 the need for 100,000–150,000; item 10 the need for 150,000–300,000; item 11 the need for 300,000–500,000; item 12 the need for 500,000–1,000,000; item 13 the need for 1,000,000–3,000,000;</w:t>
      </w:r>
    </w:p>
    <w:p>
      <w:pPr>
        <w:pStyle w:val="FirstParagraph"/>
        <w:spacing w:after="120" w:line="312" w:lineRule="auto"/>
      </w:pPr>
      <w:r>
        <w:rPr>
          <w:rFonts w:ascii="DejaVu Serif" w:hAnsi="DejaVu Serif" w:eastAsia="Noto Serif CJK SC"/>
          <w:color w:val="000000"/>
          <w:sz w:val="22"/>
        </w:rPr>
        <w:t xml:space="preserve">item 14 the need for 3,000,000–5,000,000; item 15 the need for 5,000,000–10,000,000; item 16 the need for 10,000,000–50,000,000; item 17 the need for 50,000,000–100,000,000; item 18 the need for 100,000,000–500,000,000; item 19 the need for 500,000,000–1,000,000,000; item 20 the need for 1,000,000,000+; paragraph 8. ethics (the punishment of a conflict of inner beliefs); paragraph 9. threats by others (negative return); paragraph 10. the pressure of public opinion (negative return); paragraph 11. other non-monetary stimuli of the negative-feedback kind not listed above.</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Unless the law makes punitive measures for a particular prohibited matter (mandatory-requirement matter) and it infringes upon freedom and the right to life, any individual (having the power of choice) chooses not to comply. (The mechanism by which all punishments take effect is based on a person’s fear of possibly losing an existing subject matter of his own — the sense of gain and loss.) The existing corresponding subject matters of the sense of gain and loss are now summarized and set out as follows: (1) acting in compliance with a certain stipulation on the basis of a punitive measure infringing upon the right to life; (2) … on the basis of a punitive measure infringing upon the right of the person … (3) … on the basis of a punitive measure infringing upon freedom … (4) … on the basis of a punitive measure infringing upon one’s own right to strategic self-determination … (5) … on the basis of a punitive measure infringing upon existing property (currency or assets) or property rights (ownership, usufructuary rights, intellectual property rights) …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Taking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sense of gain and loss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pivot, this article systematically compiles the correspondence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punishment – fear – subject matter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 is the Author’s master table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risk–motivation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analysis.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 two sides of the same coin with Article 5 【The Sources of Fear】 (one being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what is feared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other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what is punished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is akin to Articles 12 and 49; it is the Author’s cognitive tool for understanding the driving forces of human nature.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 Article 12, Article 49.</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000000"/>
                <w:sz w:val="19"/>
              </w:rPr>
              <w:t xml:space="preserve">(Continued with Article 84 and the articles thereafter)</w:t>
            </w:r>
          </w:p>
        </w:tc>
      </w:tr>
      <w:tr>
        <w:tc>
          <w:tcPr/>
          <w:p>
            <w:pPr>
              <w:pStyle w:val="Compact"/>
              <w:spacing w:after="40" w:line="288" w:lineRule="auto"/>
            </w:pPr>
          </w:p>
        </w:tc>
      </w:tr>
      <w:tr>
        <w:tc>
          <w:tcPr/>
          <w:p>
            <w:pPr>
              <w:pStyle w:val="Heading2"/>
              <w:spacing w:after="40" w:line="288" w:lineRule="auto"/>
              <w:jc w:val="left"/>
            </w:pPr>
            <w:bookmarkStart w:id="133" w:name="Xf089b2cc590b59e679d91e8c68490c84988c08f"/>
            <w:r>
              <w:rPr>
                <w:rFonts w:ascii="DejaVu Serif" w:hAnsi="DejaVu Serif" w:eastAsia="Noto Sans CJK SC"/>
                <w:color w:val="000000"/>
                <w:sz w:val="19"/>
              </w:rPr>
              <w:t xml:space="preserve">Volume Nine — The Chapter on Civil Activities and Political Neutrality</w:t>
            </w:r>
            <w:bookmarkEnd w:id="133"/>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4"/>
    <w:bookmarkStart w:id="135" w:name="X8345f36b20718a6ce4ae8838238169bddc7727f"/>
    <w:p>
      <w:pPr>
        <w:pStyle w:val="Heading3"/>
        <w:spacing w:after="120" w:line="312" w:lineRule="auto"/>
        <w:jc w:val="left"/>
      </w:pPr>
      <w:r>
        <w:rPr>
          <w:rFonts w:ascii="DejaVu Serif" w:hAnsi="DejaVu Serif" w:eastAsia="Noto Serif CJK SC"/>
          <w:color w:val="000000"/>
          <w:sz w:val="26"/>
        </w:rPr>
        <w:t xml:space="preserve">Article 84 【The Principle of Providing Services upon Invitation】</w:t>
      </w:r>
    </w:p>
    <w:p>
      <w:pPr>
        <w:pStyle w:val="FirstParagraph"/>
        <w:spacing w:after="120" w:line="312" w:lineRule="auto"/>
      </w:pPr>
      <w:r>
        <w:rPr>
          <w:rFonts w:ascii="DejaVu Serif" w:hAnsi="DejaVu Serif" w:eastAsia="Noto Serif CJK SC"/>
          <w:color w:val="000000"/>
          <w:sz w:val="22"/>
        </w:rPr>
        <w:t xml:space="preserve">In engaging in any activity (including but not limited to consulting, planning, agency and handling, leasing, translation, design and negotiation), the Author takes the external counterpart’s having a need as the first original point of departure and the first principle of service provision; where the recipient of the service has no proactive and strong motivation, the Author (in principle) does not help.</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8"/>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engaging in any activity (including but not limited to consulting, planning, agency and handling, leasing, translation, design and negotiation), the Author takes the external counterpart’s having a need as the first original point of departure and the first principle of service provision; where the recipient of the service has no proactive and strong motivation, the Author (in principle) does not help.</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services upon invitation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service is premised upon the counterpart’s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proactive and strong need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absent that, in principle no help is given. This is interlinked with Article 114 【Payment-Based Screening】 and Article 34 【Voluntariness of Liability】.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of the same origin as Article 1’s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necessary intervention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Annex A.02.001 【The Principle of Not Helping Unless Necessary】: not offering proactively, not intervening beyond boundaries, is the embodiment of respecting others’ autonomy.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34, Article 85, Article 114, Annex A.02.001 【The Exemption List of the Principle of Not Helping Unless Necessary】.</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5"/>
    <w:bookmarkStart w:id="136" w:name="X5cf38d889324ddf0700bc85a93df958f6ad46d8"/>
    <w:p>
      <w:pPr>
        <w:pStyle w:val="Heading3"/>
        <w:spacing w:after="120" w:line="312" w:lineRule="auto"/>
        <w:jc w:val="left"/>
      </w:pPr>
      <w:r>
        <w:rPr>
          <w:rFonts w:ascii="DejaVu Serif" w:hAnsi="DejaVu Serif" w:eastAsia="Noto Serif CJK SC"/>
          <w:color w:val="000000"/>
          <w:sz w:val="26"/>
        </w:rPr>
        <w:t xml:space="preserve">Article 85 【Client Seeking and Positioning】</w:t>
      </w:r>
    </w:p>
    <w:p>
      <w:pPr>
        <w:pStyle w:val="FirstParagraph"/>
        <w:spacing w:after="120" w:line="312" w:lineRule="auto"/>
      </w:pPr>
      <w:r>
        <w:rPr>
          <w:rFonts w:ascii="DejaVu Serif" w:hAnsi="DejaVu Serif" w:eastAsia="Noto Serif CJK SC"/>
          <w:color w:val="000000"/>
          <w:sz w:val="22"/>
        </w:rPr>
        <w:t xml:space="preserve">In seeking clients, one must position oneself toward persons who have a proactive and strong motivation to proactively seek assistance and who genuinely have the intent, willingness and ability to pay.</w:t>
      </w:r>
    </w:p>
    <w:tbl>
      <w:tblPr>
        <w:tblStyle w:val="Table"/>
        <w:tblW w:type="pct" w:w="501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9"/>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seeking clients, one must position oneself toward persons who have a proactive and strong motivation to proactively seek assistance and who genuinely have the intent, willingness and ability to pay.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criterion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client positioning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only those who are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proactive, strong, and possessed of the intent and ability to pay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target clients.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114 【Payment-Based Screening】, Article 116 【The Dimensions of Client Screening】 and Article 55 【The Population Selection of Entrepreneurship】; it is the Author’s method of commercial client acquisition.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55, Article 114, Article 116.</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6"/>
    <w:bookmarkStart w:id="137" w:name="X2796f64e4210de6a94e6bd2fc5d6d7b46bd3696"/>
    <w:p>
      <w:pPr>
        <w:pStyle w:val="Heading3"/>
        <w:spacing w:after="120" w:line="312" w:lineRule="auto"/>
        <w:jc w:val="left"/>
      </w:pPr>
      <w:r>
        <w:rPr>
          <w:rFonts w:ascii="DejaVu Serif" w:hAnsi="DejaVu Serif" w:eastAsia="Noto Serif CJK SC"/>
          <w:color w:val="000000"/>
          <w:sz w:val="26"/>
        </w:rPr>
        <w:t xml:space="preserve">Article 86 【The Intensity of One’s Own Motivation】</w:t>
      </w:r>
    </w:p>
    <w:p>
      <w:pPr>
        <w:pStyle w:val="FirstParagraph"/>
        <w:spacing w:after="120" w:line="312" w:lineRule="auto"/>
      </w:pPr>
      <w:r>
        <w:rPr>
          <w:rFonts w:ascii="DejaVu Serif" w:hAnsi="DejaVu Serif" w:eastAsia="Noto Serif CJK SC"/>
          <w:color w:val="000000"/>
          <w:sz w:val="22"/>
        </w:rPr>
        <w:t xml:space="preserve">The Author himself should also define his goals clearly, proactively clarify his own genuinely strong desires, and put them into practice.</w:t>
      </w:r>
    </w:p>
    <w:tbl>
      <w:tblPr>
        <w:tblStyle w:val="Table"/>
        <w:tblW w:type="pct" w:w="502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5"/>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 himself should also define his goals clearly, proactively clarify his own genuinely strong desires, and put them into practice.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requirement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one’s own motivation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Author too must clarify the goal, see the strong desire, and put it into practice at once.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28 【Firmness of Decision】 and Article 77 【Information Thinking】, showing that toward others and toward oneself alike,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strong motivation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criterion.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28, Article 77, Article 113.</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7"/>
    <w:bookmarkStart w:id="138" w:name="X0060844991312b7aac979f847367fc6e7cc85ca"/>
    <w:p>
      <w:pPr>
        <w:pStyle w:val="Heading3"/>
        <w:spacing w:after="120" w:line="312" w:lineRule="auto"/>
        <w:jc w:val="left"/>
      </w:pPr>
      <w:r>
        <w:rPr>
          <w:rFonts w:ascii="DejaVu Serif" w:hAnsi="DejaVu Serif" w:eastAsia="Noto Serif CJK SC"/>
          <w:color w:val="000000"/>
          <w:sz w:val="26"/>
        </w:rPr>
        <w:t xml:space="preserve">Article 87 【General Principle One of Civil Activities】</w:t>
      </w:r>
    </w:p>
    <w:p>
      <w:pPr>
        <w:pStyle w:val="FirstParagraph"/>
        <w:spacing w:after="120" w:line="312" w:lineRule="auto"/>
      </w:pPr>
      <w:r>
        <w:rPr>
          <w:rFonts w:ascii="DejaVu Serif" w:hAnsi="DejaVu Serif" w:eastAsia="Noto Serif CJK SC"/>
          <w:color w:val="000000"/>
          <w:sz w:val="22"/>
        </w:rPr>
        <w:t xml:space="preserve">The principle of equality — mainly with two layers of meaning: one layer is the embodiment in civil law of the constitutional principle that all persons are equal before the law; the other layer is the equal protection of the lawful civil rights and interests of all civil subjects.</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principle of equality — mainly with two layers of meaning: one layer is the embodiment in civil law of the constitutional principle that all persons are equal before the law; the other layer is the equal protection of the lawful civil rights and interests of all civil subjects.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together with Articles 88 to 92, forms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five principles of civil activities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(equality, voluntariness, fairness, good faith and greenness), being the fundamental criteria of the Author’s engagement in civil activities.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principle of equality is the first of the five principles, akin to Article 35 【All Matters Are Equal Exchanges】 and Article 99 【Treating Others with an Equal Attitude】.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88 to 92, Article 35, Article 99.</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8"/>
    <w:bookmarkStart w:id="139" w:name="Xcbed1125af2e5f90589f49c9c3f2f7a086da6d2"/>
    <w:p>
      <w:pPr>
        <w:pStyle w:val="Heading3"/>
        <w:spacing w:after="120" w:line="312" w:lineRule="auto"/>
        <w:jc w:val="left"/>
      </w:pPr>
      <w:r>
        <w:rPr>
          <w:rFonts w:ascii="DejaVu Serif" w:hAnsi="DejaVu Serif" w:eastAsia="Noto Serif CJK SC"/>
          <w:color w:val="000000"/>
          <w:sz w:val="26"/>
        </w:rPr>
        <w:t xml:space="preserve">Article 88 【General Principle Two of Civil Activities】</w:t>
      </w:r>
    </w:p>
    <w:p>
      <w:pPr>
        <w:pStyle w:val="FirstParagraph"/>
        <w:spacing w:after="120" w:line="312" w:lineRule="auto"/>
      </w:pPr>
      <w:r>
        <w:rPr>
          <w:rFonts w:ascii="DejaVu Serif" w:hAnsi="DejaVu Serif" w:eastAsia="Noto Serif CJK SC"/>
          <w:color w:val="000000"/>
          <w:sz w:val="22"/>
        </w:rPr>
        <w:t xml:space="preserve">The principle of voluntariness — in engaging in civil activities, a civil subject should follow the principle of voluntariness and, according to his own will, create, alter or terminate civil-law relationships. Autonomy of will is one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three cornerstones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modern civil law.</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principle of voluntariness — in engaging in civil activities, a civil subject should follow the principle of voluntariness and, according to his own will, create, alter or terminate civil-law relationships. Autonomy of will is one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three cornerstones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modern civil law.</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voluntariness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autonomy of will, being the civil-law foundation of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maximum 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principle of voluntariness is of the same structure as Article 33 and Article 34 (no liability without voluntariness), showing the congruence of the Charter with the spirit of the civil law.</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 Article 34, Article 90.</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9"/>
    <w:bookmarkStart w:id="140" w:name="X7feca0fd1adb594962c949d8fc1ce787b0fa9f1"/>
    <w:p>
      <w:pPr>
        <w:pStyle w:val="Heading3"/>
        <w:spacing w:after="120" w:line="312" w:lineRule="auto"/>
        <w:jc w:val="left"/>
      </w:pPr>
      <w:r>
        <w:rPr>
          <w:rFonts w:ascii="DejaVu Serif" w:hAnsi="DejaVu Serif" w:eastAsia="Noto Serif CJK SC"/>
          <w:color w:val="000000"/>
          <w:sz w:val="26"/>
        </w:rPr>
        <w:t xml:space="preserve">Article 89 【General Principle Three of Civil Activities】</w:t>
      </w:r>
    </w:p>
    <w:p>
      <w:pPr>
        <w:pStyle w:val="FirstParagraph"/>
        <w:spacing w:after="120" w:line="312" w:lineRule="auto"/>
      </w:pPr>
      <w:r>
        <w:rPr>
          <w:rFonts w:ascii="DejaVu Serif" w:hAnsi="DejaVu Serif" w:eastAsia="Noto Serif CJK SC"/>
          <w:color w:val="000000"/>
          <w:sz w:val="22"/>
        </w:rPr>
        <w:t xml:space="preserve">The principle of fairness — taking the balance of interests as the standard of value judgment in order to adjust the relations of economic interests between civil subjects, and allocating the rights and obligations of civil subjects through a balance of interests; fairness and justice are the basic requirements for civil judicial activity.</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2"/>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principle of fairness — taking the balance of interests as the standard of value judgment in order to adjust the relations of economic interests between civil subjects, and allocating the rights and obligations of civil subjects through a balance of interests; fairness and justice are the basic requirements for civil judicial activity.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fairness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taking the balance of interests as the criterion.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73 【Win-Win-Ism】, showing the Author’s transactional outlook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balanced win-win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73, Article 87, Article 35.</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0"/>
    <w:bookmarkStart w:id="141" w:name="X24af933bf0c9f097f6ddff4902690ee291354d4"/>
    <w:p>
      <w:pPr>
        <w:pStyle w:val="Heading3"/>
        <w:spacing w:after="120" w:line="312" w:lineRule="auto"/>
        <w:jc w:val="left"/>
      </w:pPr>
      <w:r>
        <w:rPr>
          <w:rFonts w:ascii="DejaVu Serif" w:hAnsi="DejaVu Serif" w:eastAsia="Noto Serif CJK SC"/>
          <w:color w:val="000000"/>
          <w:sz w:val="26"/>
        </w:rPr>
        <w:t xml:space="preserve">Article 90 【General Principle Four of Civil Activities】</w:t>
      </w:r>
    </w:p>
    <w:p>
      <w:pPr>
        <w:pStyle w:val="FirstParagraph"/>
        <w:spacing w:after="120" w:line="312" w:lineRule="auto"/>
      </w:pPr>
      <w:r>
        <w:rPr>
          <w:rFonts w:ascii="DejaVu Serif" w:hAnsi="DejaVu Serif" w:eastAsia="Noto Serif CJK SC"/>
          <w:color w:val="000000"/>
          <w:sz w:val="22"/>
        </w:rPr>
        <w:t xml:space="preserve">The principle of good faith — honesty and trustworthiness are the basic criterion of market activity and an important legal principle safeguarding the order of transactions; it requires all civil subjects to be honest and not deceptive, to value credit, and to exercise rights in a good-faith manner.</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principle of good faith — honesty and trustworthiness are the basic criterion of market activity and an important legal principle safeguarding the order of transactions; it requires all civil subjects to be honest and not deceptive, to value credit, and to exercise rights in a good-faith manner.</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honest and not deceptive, valuing credit, exercising rights in a good-faith manner. This is the civil-law expression of Article 6’s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maximum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principle of good faith is the core of civil activities, carried on with Article 6 and Article 68-2 【Debt Repayment】; only Article 91 additionally sets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good-faith exemption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the two are complete only when read together.</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 Article 91, Article 68-2.</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1"/>
    <w:bookmarkStart w:id="142" w:name="X4322360f30c0c202546017b4737f938b3dc6a9b"/>
    <w:p>
      <w:pPr>
        <w:pStyle w:val="Heading3"/>
        <w:spacing w:after="120" w:line="312" w:lineRule="auto"/>
        <w:jc w:val="left"/>
      </w:pPr>
      <w:r>
        <w:rPr>
          <w:rFonts w:ascii="DejaVu Serif" w:hAnsi="DejaVu Serif" w:eastAsia="Noto Serif CJK SC"/>
          <w:color w:val="000000"/>
          <w:sz w:val="26"/>
        </w:rPr>
        <w:t xml:space="preserve">Article 91 【The Author’s Personal Exemption from the Principle of Good Faith】</w:t>
      </w:r>
    </w:p>
    <w:p>
      <w:pPr>
        <w:pStyle w:val="FirstParagraph"/>
        <w:spacing w:after="120" w:line="312" w:lineRule="auto"/>
      </w:pPr>
      <w:r>
        <w:rPr>
          <w:rFonts w:ascii="DejaVu Serif" w:hAnsi="DejaVu Serif" w:eastAsia="Noto Serif CJK SC"/>
          <w:color w:val="000000"/>
          <w:sz w:val="22"/>
        </w:rPr>
        <w:t xml:space="preserve">On the basis of observing the above principle of good faith, the Author may, if any of the following circumstances exists, breach the observance of the principle of good faith and make such reservation as he considers appropriate with respect to relevant information, results of conduct, resources, etc., or make other reasonable arrangements: (1) where the individual’s right to life and right to subsistence are under a realistic threat from another person or other subject; (2) where the individual’s right to bodily integrity is under a realistic threat from another person or other subject; (3) where the individual’s right to freedom and right to autonomous strategic decision are under a realistic threat from another person or other subject; (4) where the individual’s right to freedom (of action) is (unlawfully) restricted for a long period (exceeding 7 or 20 years) or is under a realistic threat from another subject; (5) where, in consideration of the cognitive level and tolerance of another natural person or subject, part of the information is reserved from him and not disclosed out of good faith; (6) where, in consideration of a prior undertaking to protect one’s own privacy; (7) where, in performance of a contractual or legal obligation to protect one’s own privacy;</w:t>
      </w:r>
    </w:p>
    <w:p>
      <w:pPr>
        <w:pStyle w:val="Compact"/>
        <w:numPr>
          <w:ilvl w:val="0"/>
          <w:numId w:val="1020"/>
        </w:numPr>
        <w:spacing w:after="120" w:line="312" w:lineRule="auto"/>
      </w:pPr>
      <w:r>
        <w:rPr>
          <w:rFonts w:ascii="DejaVu Serif" w:hAnsi="DejaVu Serif" w:eastAsia="Noto Serif CJK SC"/>
          <w:color w:val="000000"/>
          <w:sz w:val="22"/>
        </w:rPr>
        <w:t xml:space="preserve">where, in consideration of an express prior undertaking to protect the privacy of another (a natural person or legal-person organization); (9) where, in performance of a contractual or legal obligation to protect the privacy of another (a natural person or legal-person organization); (10) where, in consideration of an express prior undertaking to protect the privacy of another (a natural person or legal-person organization); (11) where, in performance of a contractual or legal obligation to protect the commercial secrets of a company legal person founded or held by oneself; (12) where, in performance of a contractual or legal obligation to protect the commercial secrets of another (a natural person or legal-person organization); (13) where reservation is made in performance of the protection of inside information of a specific industry; (14) where, in performance of statutory duties or the maintenance of overall stability, one is compelled, within the limits permitted by law, to make reservation on a specific matter; (15) other lawful and reasonable temporary circumstances in which the Author considers it truly necessary to breach the observance of the principle of honesty and good faith (good faith).</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5"/>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On the basis of observing the above principle of good faith, the Author may, if any of the following circumstances exists, breach the observance of the principle of good faith and make such reservation as he considers appropriate with respect to relevant information, results of conduct, resources, etc., or make other reasonable arrangements: (1) where the individual’s right to life and right to subsistence are under a realistic threat from another person or other subject; (2) where the individual’s right to bodily integrity is under … a threat; (3) where the individual’s right to freedom and right to autonomous strategic decision are under … a threat; (4) where the individual’s right to freedom (of action) is (unlawfully) restricted for a long period (exceeding 7 or 20 years) or is under a realistic threat from another subject; (5) where, in consideration of the cognitive level and tolerance of another natural person or subject, part of the information is reserved from him and not disclosed out of good faith; (6) where, in consideration of a prior undertaking to protect one’s own privacy; (7) where, in performance of a contractual or legal obligation to protect one’s own privacy; (8) where, in consideration of protecting the privacy of another …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good-faith exemption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whenever life, body, freedom or self-determination is threatened, or where it is to protect privacy or treat others in good faith, appropriate reservation may be made as to information. Its legislative purpose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 faith is not blind loyalty; good faith has boundaries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establishment of this article shows that the Author’s good faith is bounded by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self-protection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treating others in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akin to Article 9 【Minimum Necessary Disclosure】 and Article 46 【Believe Yet Review】.</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90, Article 9, Article 46.</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2"/>
    <w:bookmarkStart w:id="143" w:name="X6498277debaed1ba1f5b8364390320b9d2eb7bf"/>
    <w:p>
      <w:pPr>
        <w:pStyle w:val="Heading3"/>
        <w:spacing w:after="120" w:line="312" w:lineRule="auto"/>
        <w:jc w:val="left"/>
      </w:pPr>
      <w:r>
        <w:rPr>
          <w:rFonts w:ascii="DejaVu Serif" w:hAnsi="DejaVu Serif" w:eastAsia="Noto Serif CJK SC"/>
          <w:color w:val="000000"/>
          <w:sz w:val="26"/>
        </w:rPr>
        <w:t xml:space="preserve">Article 92 【General Principle Five of Civil Activities】</w:t>
      </w:r>
    </w:p>
    <w:p>
      <w:pPr>
        <w:pStyle w:val="FirstParagraph"/>
        <w:spacing w:after="120" w:line="312" w:lineRule="auto"/>
      </w:pPr>
      <w:r>
        <w:rPr>
          <w:rFonts w:ascii="DejaVu Serif" w:hAnsi="DejaVu Serif" w:eastAsia="Noto Serif CJK SC"/>
          <w:color w:val="000000"/>
          <w:sz w:val="22"/>
        </w:rPr>
        <w:t xml:space="preserve">The green principle — in engaging in civil activities, a civil subject should be conducive to conserving resources and protecting the ecological environment; this principle both inherits the traditional cultural idea of harmony among heaven, earth and humanity and of the harmonious coexistence of man and nature, and embodies a new development philosophy, and is conducive to easing the contradiction between our country’s ever-growing population and its resources and ecology.</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green principle — in engaging in civil activities, a civil subject should be conducive to conserving resources and protecting the ecological environment; this principle both inherits the traditional cultural idea of harmony among heaven, earth and humanity and of the harmonious coexistence of man and nature, and embodies a new development philosophy, and is conducive to easing the contradiction between our country’s ever-growing population and its resources and ecology.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green 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conserving resources and protecting the ecology.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Article 49 【The Purchase MVP】, showing the Author’s life and business philosophy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minimalism and sustainability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Article 49, Annex A.04.001.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3"/>
    <w:bookmarkStart w:id="144" w:name="X451d9ef3fa37de57be3a7294da82b6b7c723082"/>
    <w:p>
      <w:pPr>
        <w:pStyle w:val="Heading3"/>
        <w:spacing w:after="120" w:line="312" w:lineRule="auto"/>
        <w:jc w:val="left"/>
      </w:pPr>
      <w:r>
        <w:rPr>
          <w:rFonts w:ascii="DejaVu Serif" w:hAnsi="DejaVu Serif" w:eastAsia="Noto Serif CJK SC"/>
          <w:color w:val="000000"/>
          <w:sz w:val="26"/>
        </w:rPr>
        <w:t xml:space="preserve">Article 93 【The Meaning of Patriotism and Exemptions】</w:t>
      </w:r>
    </w:p>
    <w:p>
      <w:pPr>
        <w:pStyle w:val="FirstParagraph"/>
        <w:spacing w:after="120" w:line="312" w:lineRule="auto"/>
      </w:pPr>
      <w:r>
        <w:rPr>
          <w:rFonts w:ascii="DejaVu Serif" w:hAnsi="DejaVu Serif" w:eastAsia="Noto Serif CJK SC"/>
          <w:color w:val="000000"/>
          <w:sz w:val="22"/>
        </w:rPr>
        <w:t xml:space="preserve">The essence of the state is purely a concept in the human brain, and is in essence an aggregate of specific persons (groups) based on interests; the bare essence of patriotism is the ideological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identification of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binding of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as well as identity identification on the basis of the above identification; hence it (the ideas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patriotism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state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may be used as an instrumental means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identification of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binding of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But the use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patriotism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may or must be exempted in the following circumstances: (1) where, because of the practice of the idea of patriotism, the individual’s right to life and right to subsistence are (unlawfully) restricted for a long period (exceeding 7 or 20 years) or are under a realistic threat from another subject; (2) where, because of the practice of the idea of patriotism, the individual’s right to bodily integrity, physical and mental health, etc., are under a realistic threat from another person or other subject; (3) where, because of the practice of the idea of patriotism, the individual’s right to freedom, right to autonomous strategic decision, freedom of thought and action, etc., are under a realistic threat from another person or other subject; (4) where, because of the practice of the idea of patriotism, the individual’s right to choose a free way of life, the right to choose a place of sojourn, or the right to choose an occupation or career are under a realistic threat; (5) where, because of the practice of the idea of patriotism, the individual’s core rights and interests as set out in items 1–10 of Article 3 of this Charter are under a realistic and substantive threat from another person or other subject (including but not limited to the state subjects of the country of current residence or the so-called motherland such as the governing and administrative bodies), by any means including but not limited to the military, violence, or imprisonment under law; (6) other circumstances in which, because of the practice of the idea of patriotism, the individual’s core interests may suffer loss.</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the state is purely a concept in the human brain, and is in essence an aggregate of specific persons (groups) based on interests; the bare essence of patriotism is the ideological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identification of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binding of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as well as identity identification on the basis of the above identification; hence it (the ideas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patriotism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state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may be used as an instrumental means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identification of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binding of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But the use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patriotism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may or must be exempted in the following circumstances: (1) where, because of the practice of the idea of patriotism, the individual’s right to life and right to subsistence are (unlawfully) restricted for a long period (exceeding 7 or 20 years) or are under a realistic threat from another subject; (2) where, because of the practice of the idea of patriotism, the individual’s right to bodily integrity, physical and mental health, etc., are under … a threat; (3) where, because of the practice of the idea of patriotism, the individual’s right to freedom, right to autonomous strategic decision, freedom of thought and action, etc., are under … a threat …</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Taking an essentialist perspective, this article deconstructs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state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patriotism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both being ideological instruments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identification and binding of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at the same time it sets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exemption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circumstances, protecting the Author’s fundamental rights. This is in the same lineage as Article 7 【The Cosmic Citizen】 and Article 46 【The State Is a Thing of Ideas】.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purport of this article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understanding the essence without being bound by 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neither following blindly nor treating it with contempt; whenever the Author’s fundamental rights are threatened, the practice of patriotism may be exempted. Together with Articles 94 to 99, it forms the system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political neutrality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46, Articles 94 to 99, Article 125.</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4"/>
    <w:bookmarkStart w:id="145" w:name="X2457ded67b3bc7a18f1d5532bcc00172da2507c"/>
    <w:p>
      <w:pPr>
        <w:pStyle w:val="Heading3"/>
        <w:spacing w:after="120" w:line="312" w:lineRule="auto"/>
        <w:jc w:val="left"/>
      </w:pPr>
      <w:r>
        <w:rPr>
          <w:rFonts w:ascii="DejaVu Serif" w:hAnsi="DejaVu Serif" w:eastAsia="Noto Serif CJK SC"/>
          <w:color w:val="000000"/>
          <w:sz w:val="26"/>
        </w:rPr>
        <w:t xml:space="preserve">Article 94 【The Principle of Non-Participation in War】</w:t>
      </w:r>
    </w:p>
    <w:p>
      <w:pPr>
        <w:pStyle w:val="FirstParagraph"/>
        <w:spacing w:after="120" w:line="312" w:lineRule="auto"/>
      </w:pPr>
      <w:r>
        <w:rPr>
          <w:rFonts w:ascii="DejaVu Serif" w:hAnsi="DejaVu Serif" w:eastAsia="Noto Serif CJK SC"/>
          <w:color w:val="000000"/>
          <w:sz w:val="22"/>
        </w:rPr>
        <w:t xml:space="preserve">In no circumstances, for any reason, to enlist in the military or participate in any war.</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no circumstances, for any reason, to enlist in the military or participate in any war.</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absolute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non-participation in war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not enlisting and not going to war.</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 basis of the main provision of Annex D.01.001, the Implementing Regulations on the Principle of Non-Participation in War (with 21 articles); together with Article 144 【The Binary Iron Rule of Organizational Participation】 (excluding military organizations) and Article 95 【Non-Political Parties】, it forms the group of principles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participating in rigid organizations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144, Article 95, Annex D.01.001 【The Implementing Regulations on the Principle of Non-Participation in War】, Annex A.08.001.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5"/>
    <w:bookmarkStart w:id="146" w:name="X42eec48f9e6a7e7b27fa8256fe3456bcaf9708b"/>
    <w:p>
      <w:pPr>
        <w:pStyle w:val="Heading3"/>
        <w:spacing w:after="120" w:line="312" w:lineRule="auto"/>
        <w:jc w:val="left"/>
      </w:pPr>
      <w:r>
        <w:rPr>
          <w:rFonts w:ascii="DejaVu Serif" w:hAnsi="DejaVu Serif" w:eastAsia="Noto Serif CJK SC"/>
          <w:color w:val="000000"/>
          <w:sz w:val="26"/>
        </w:rPr>
        <w:t xml:space="preserve">Article 95 【The Principle of Non-Participation in Political Parties】</w:t>
      </w:r>
    </w:p>
    <w:p>
      <w:pPr>
        <w:pStyle w:val="FirstParagraph"/>
        <w:spacing w:after="120" w:line="312" w:lineRule="auto"/>
      </w:pPr>
      <w:r>
        <w:rPr>
          <w:rFonts w:ascii="DejaVu Serif" w:hAnsi="DejaVu Serif" w:eastAsia="Noto Serif CJK SC"/>
          <w:color w:val="000000"/>
          <w:sz w:val="22"/>
        </w:rPr>
        <w:t xml:space="preserve">In no circumstances, on the basis of any interest or intent, to join any political party; neither to support nor to oppose any political party.</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2"/>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no circumstances, on the basis of any interest or intent, to join any political party; neither to support nor to oppose any political party.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non-participation in political parties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not joining parties, neither supporting nor opposing.</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96 【Not Taking a Political Stance】 and Article 144 【The Binary Iron Rule of Organizational Participation】. In accordance with Article 6 of Annex A.08.001, a political party is neither self-established nor voluntarily agreed to be joined, and therefore falls within the scope of exclusion.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78, Article 96, Article 144, Annex A.08.001.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6"/>
    <w:bookmarkStart w:id="147" w:name="X846c427af3c6691264d244fa181f56a849a860c"/>
    <w:p>
      <w:pPr>
        <w:pStyle w:val="Heading3"/>
        <w:spacing w:after="120" w:line="312" w:lineRule="auto"/>
        <w:jc w:val="left"/>
      </w:pPr>
      <w:r>
        <w:rPr>
          <w:rFonts w:ascii="DejaVu Serif" w:hAnsi="DejaVu Serif" w:eastAsia="Noto Serif CJK SC"/>
          <w:color w:val="000000"/>
          <w:sz w:val="26"/>
        </w:rPr>
        <w:t xml:space="preserve">Article 96 【The Principle of Not Taking a Political Stance】</w:t>
      </w:r>
    </w:p>
    <w:p>
      <w:pPr>
        <w:pStyle w:val="FirstParagraph"/>
        <w:spacing w:after="120" w:line="312" w:lineRule="auto"/>
      </w:pPr>
      <w:r>
        <w:rPr>
          <w:rFonts w:ascii="DejaVu Serif" w:hAnsi="DejaVu Serif" w:eastAsia="Noto Serif CJK SC"/>
          <w:color w:val="000000"/>
          <w:sz w:val="22"/>
        </w:rPr>
        <w:t xml:space="preserve">In no circumstances does the Author, as a principle, intend to support or intend to oppose any political stance, any political party (of a state), any other political organization, or the advocacy of any political slogan, nor advocate expressly supporting or opposing any political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ideology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no circumstances does the Author, as a principle, intend to support or intend to oppose any political stance, any political party (of a state), any other political organization, or the advocacy of any political slogan, nor advocate expressly supporting or opposing any political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ideology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taking a political stance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as to political stances, parties, organizations, slogans and ideologies, neither supporting nor opposing at all.</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echoes Article 7 【The Cosmic Citizen】 and is the Author’s stance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standing above politics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However, Article 96-2 additionally sets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necessary exceptions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95, Article 96-2, Article 144.</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7"/>
    <w:bookmarkStart w:id="148" w:name="X11cac3dcf8fc45d918b9205b1067df5dfe64dc8"/>
    <w:p>
      <w:pPr>
        <w:pStyle w:val="Heading3"/>
        <w:spacing w:after="120" w:line="312" w:lineRule="auto"/>
        <w:jc w:val="left"/>
      </w:pPr>
      <w:r>
        <w:rPr>
          <w:rFonts w:ascii="DejaVu Serif" w:hAnsi="DejaVu Serif" w:eastAsia="Noto Serif CJK SC"/>
          <w:color w:val="000000"/>
          <w:sz w:val="26"/>
        </w:rPr>
        <w:t xml:space="preserve">Article 96-2 【Necessary Exceptions to the Principle of Not Taking a Political Stance】</w:t>
      </w:r>
    </w:p>
    <w:p>
      <w:pPr>
        <w:pStyle w:val="FirstParagraph"/>
        <w:spacing w:after="120" w:line="312" w:lineRule="auto"/>
      </w:pPr>
      <w:r>
        <w:rPr>
          <w:rFonts w:ascii="DejaVu Serif" w:hAnsi="DejaVu Serif" w:eastAsia="Noto Serif CJK SC"/>
          <w:color w:val="000000"/>
          <w:sz w:val="22"/>
        </w:rPr>
        <w:t xml:space="preserve">Under the corresponding principle circumstances, the following circumstances may at discretion be granted necessary exemption:</w:t>
      </w:r>
    </w:p>
    <w:p>
      <w:pPr>
        <w:pStyle w:val="Compact"/>
        <w:numPr>
          <w:ilvl w:val="0"/>
          <w:numId w:val="1021"/>
        </w:numPr>
        <w:spacing w:after="120" w:line="312" w:lineRule="auto"/>
      </w:pPr>
      <w:r>
        <w:rPr>
          <w:rFonts w:ascii="DejaVu Serif" w:hAnsi="DejaVu Serif" w:eastAsia="Noto Serif CJK SC"/>
          <w:color w:val="000000"/>
          <w:sz w:val="22"/>
        </w:rPr>
        <w:t xml:space="preserve">where it is necessary for the Author, owing to key and essential work appointment or the performance of duties being genuinely necessary or following necessary requirements, to reach (relatively long-term) cooperation with the counterpart; (2) where engaging in the circumstances of (1) does not necessarily require mandatory joining of a specific political party or party faction, or engaging in non-essential party activities on its behalf including but not limited to canvassing in elections or work advocacy not necessary for the performance of duties; (3) other exemptible circumstances of the same nature as the above. *#This provision was added under Article 2 of the Second Amendment, clarifying the exceptional circumstances of the principle of not taking a political stance, adapting to the needs of cooperation in the performance of work and duties, and avoiding the rigidity of the principle affecting the advancement of core matters#.</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the corresponding principle circumstances, the following circumstances may at discretion be granted necessary exemption: (1) where it is necessary for the Author, owing to key and essential work appointment or the performance of duties being genuinely necessary or following necessary requirements, to reach (relatively long-term) cooperation with the counterpart; (2) where engaging in the circumstances of (1) does not necessarily require mandatory joining of a specific political party or party faction, or engaging in non-essential party activities on its behalf including but not limited to canvassing in elections or work advocacy not necessary for the performance of duties; (3) other exemptible circumstances of the same nature as the above.</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Article 2 of the Second Amendment.)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was added by the Second Amendment, setting for Article 96 the necessary exception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cooperation in the performance of duties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where, owing to key work or the performance of duties, one cooperates with the counterpart, exemption may be granted at discretion. Its purport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principle is not rigid; cooperation has room</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exception is strictly confined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necessary for the performance of duties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it is expressly provided that it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does not necessarily require joining a specific political party or engaging in non-essential party activities on its behalf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with clear boundaries. Article 96-3 further determines its boundaries, preventing a misunderstanding as weakening cooperation.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96, Article 96-3, the Second Amendment (Annex A.02.001).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8"/>
    <w:bookmarkStart w:id="149" w:name="X878874e419f18117156631d1dce74e8161ecc27"/>
    <w:p>
      <w:pPr>
        <w:pStyle w:val="Heading3"/>
        <w:spacing w:after="120" w:line="312" w:lineRule="auto"/>
        <w:jc w:val="left"/>
      </w:pPr>
      <w:r>
        <w:rPr>
          <w:rFonts w:ascii="DejaVu Serif" w:hAnsi="DejaVu Serif" w:eastAsia="Noto Serif CJK SC"/>
          <w:color w:val="000000"/>
          <w:sz w:val="26"/>
        </w:rPr>
        <w:t xml:space="preserve">Article 96-3 【The Boundaries of the Content of Article 96-2 and the Meaning Expressed by the Body of Article 96】</w:t>
      </w:r>
    </w:p>
    <w:p>
      <w:pPr>
        <w:pStyle w:val="FirstParagraph"/>
        <w:spacing w:after="120" w:line="312" w:lineRule="auto"/>
      </w:pPr>
      <w:r>
        <w:rPr>
          <w:rFonts w:ascii="DejaVu Serif" w:hAnsi="DejaVu Serif" w:eastAsia="Noto Serif CJK SC"/>
          <w:color w:val="000000"/>
          <w:sz w:val="22"/>
        </w:rPr>
        <w:t xml:space="preserve">The content of Article 96-2 and the body of Article 96 do not constitute an expression of intent prohibiting or restricting the Author’s cooperation with the political party of the specific state of which the Author is a national in the capacity of cooperator, nor do they imply any reduction of the strength, depth or breadth of cooperation with it. *#This provision was added under Article 3 of the Second Amendment, clarifying the boundaries of the provisions, avoiding misunderstanding of the willingness to cooperate, and safeguarding the room for cooperation with lawful subjects#.</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8"/>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content of Article 96-2 and the body of Article 96 do not constitute an expression of intent prohibiting or restricting the Author’s cooperation with the political party of the specific state of which the Author is a national in the capacity of cooperator, nor do they imply any reduction of the strength, depth or breadth of cooperation with it.</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Article 3 of the Second Amendment.)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clarifies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boundaries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96 and Article 96-2 — they do not constitute a prohibition or restriction of cooperation, nor do they reduce the strength of cooperation. Its purport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political neutrality does not preclude commercial cooperation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Together with Article 96-2, this article shows the Author’s balance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being politically aloof and broadly open in cooperation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96, Article 96-2, Article 78, Article 84.</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9"/>
    <w:bookmarkStart w:id="150" w:name="Xda4fe37ae5528e0a70befc507174104245712aa"/>
    <w:p>
      <w:pPr>
        <w:pStyle w:val="Heading3"/>
        <w:spacing w:after="120" w:line="312" w:lineRule="auto"/>
        <w:jc w:val="left"/>
      </w:pPr>
      <w:r>
        <w:rPr>
          <w:rFonts w:ascii="DejaVu Serif" w:hAnsi="DejaVu Serif" w:eastAsia="Noto Serif CJK SC"/>
          <w:color w:val="000000"/>
          <w:sz w:val="26"/>
        </w:rPr>
        <w:t xml:space="preserve">Article 97 【The Principle of Ethnic Equality】</w:t>
      </w:r>
    </w:p>
    <w:p>
      <w:pPr>
        <w:pStyle w:val="FirstParagraph"/>
        <w:spacing w:after="120" w:line="312" w:lineRule="auto"/>
      </w:pPr>
      <w:r>
        <w:rPr>
          <w:rFonts w:ascii="DejaVu Serif" w:hAnsi="DejaVu Serif" w:eastAsia="Noto Serif CJK SC"/>
          <w:color w:val="000000"/>
          <w:sz w:val="22"/>
        </w:rPr>
        <w:t xml:space="preserve">In no circumstances to be influenced by nationalism, nationality, ethnicity or race.</w:t>
      </w:r>
    </w:p>
    <w:tbl>
      <w:tblPr>
        <w:tblStyle w:val="Table"/>
        <w:tblW w:type="pct" w:w="502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4"/>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no circumstances to be influenced by nationalism, nationality, ethnicity or race.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ethnic equality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not influenced by ethnicity, nationality or race.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7 【The Cosmic Citizen】 and Article 99 【Treating Others with an Equal Attitude】; it is the criterion of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cross-cultural and cross-ethnic</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dealings.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99, Article 44.</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0"/>
    <w:bookmarkStart w:id="151" w:name="Xb92665875ec650aaa4030ca43814879b4911e5a"/>
    <w:p>
      <w:pPr>
        <w:pStyle w:val="Heading3"/>
        <w:spacing w:after="120" w:line="312" w:lineRule="auto"/>
        <w:jc w:val="left"/>
      </w:pPr>
      <w:r>
        <w:rPr>
          <w:rFonts w:ascii="DejaVu Serif" w:hAnsi="DejaVu Serif" w:eastAsia="Noto Serif CJK SC"/>
          <w:color w:val="000000"/>
          <w:sz w:val="26"/>
        </w:rPr>
        <w:t xml:space="preserve">Article 98 【The Absolute Ultimate Baseline of Life Activities】</w:t>
      </w:r>
    </w:p>
    <w:p>
      <w:pPr>
        <w:pStyle w:val="FirstParagraph"/>
        <w:spacing w:after="120" w:line="312" w:lineRule="auto"/>
      </w:pPr>
      <w:r>
        <w:rPr>
          <w:rFonts w:ascii="DejaVu Serif" w:hAnsi="DejaVu Serif" w:eastAsia="Noto Serif CJK SC"/>
          <w:color w:val="000000"/>
          <w:sz w:val="22"/>
        </w:rPr>
        <w:t xml:space="preserve">In no circumstances to participate in gambling-related activities (except where the Author is in an area not under the jurisdiction of Chinese law), mafia-natured organizations, or drug-related activities, and not to carry out obscene and pornographic themed activities other than viewing related content. *#On the basis of the original text, this provision supplements the exception note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 area not under the jurisdiction of Chinese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in accordance with this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 adapting to the legal differences of cross-border activities#.</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no circumstances to participate in gambling-related activities (except where the Author is in an area not under the jurisdiction of Chinese law), mafia-natured organizations, or drug-related activities, and not to carry out obscene and pornographic themed activities other than viewing related content.</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#On the basis of the original text, this provision supplements the exception note of</w:t>
            </w:r>
            <w:r>
              <w:rPr>
                <w:rFonts w:ascii="DejaVu Serif" w:hAnsi="DejaVu Serif" w:eastAsia="Noto Sans CJK SC"/>
                <w:i/>
                <w:iCs/>
                <w:color w:val="000000"/>
                <w:sz w:val="19"/>
              </w:rPr>
              <w:t xml:space="preserve"> </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an area not under the jurisdiction of Chinese law</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ultimate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not participating in gambling (except extraterritorially), mafia organizations or drugs, and not carrying out obscene and pornographic activities. It is the lowest baseline of the Author’s conduct.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corresponds to Article 13-2 (prohibited conduct) and Article 61 【The Negative List】. The gambling item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territoriality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exception, consistent with item (11) of Article 13-2.</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61, Article 125.</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1"/>
    <w:bookmarkStart w:id="153" w:name="X83bac6d74f47b8970191f751e52ed3298f2978e"/>
    <w:p>
      <w:pPr>
        <w:pStyle w:val="Heading3"/>
        <w:spacing w:after="120" w:line="312" w:lineRule="auto"/>
        <w:jc w:val="left"/>
      </w:pPr>
      <w:r>
        <w:rPr>
          <w:rFonts w:ascii="DejaVu Serif" w:hAnsi="DejaVu Serif" w:eastAsia="Noto Serif CJK SC"/>
          <w:color w:val="000000"/>
          <w:sz w:val="26"/>
        </w:rPr>
        <w:t xml:space="preserve">Article 99 【The Principle of Treating Others with an Equal Attitude】</w:t>
      </w:r>
    </w:p>
    <w:p>
      <w:pPr>
        <w:pStyle w:val="FirstParagraph"/>
        <w:spacing w:after="120" w:line="312" w:lineRule="auto"/>
      </w:pPr>
      <w:r>
        <w:rPr>
          <w:rFonts w:ascii="DejaVu Serif" w:hAnsi="DejaVu Serif" w:eastAsia="Noto Serif CJK SC"/>
          <w:color w:val="000000"/>
          <w:sz w:val="22"/>
        </w:rPr>
        <w:t xml:space="preserve">In no circumstances to view any person (including so-called persons of high position and great power and persons of low status) with a non-equal attitude.</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2"/>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no circumstances to view any person (including so-called persons of high position and great power and persons of low status) with a non-equal attitude.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treating others with an equal attitude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regardless of high or low, treating all alike.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44 【The Sameness of Personality】, Article 67 【Anti-Labeling】 and Article 118 【Equal Respect】; it is the criterion of action of the Author’s view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equality of personality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44, Article 67, Article 118.</w:t>
            </w:r>
          </w:p>
        </w:tc>
      </w:tr>
      <w:tr>
        <w:tc>
          <w:tcPr/>
          <w:p>
            <w:pPr>
              <w:pStyle w:val="Compact"/>
              <w:spacing w:after="40" w:line="288" w:lineRule="auto"/>
            </w:pPr>
          </w:p>
        </w:tc>
      </w:tr>
      <w:tr>
        <w:tc>
          <w:tcPr/>
          <w:p>
            <w:pPr>
              <w:pStyle w:val="Heading2"/>
              <w:spacing w:after="40" w:line="288" w:lineRule="auto"/>
              <w:jc w:val="left"/>
            </w:pPr>
            <w:bookmarkStart w:id="152" w:name="X299d0b2c41d93ffef1809350330ab22028fd94f"/>
            <w:r>
              <w:rPr>
                <w:rFonts w:ascii="DejaVu Serif" w:hAnsi="DejaVu Serif" w:eastAsia="Noto Sans CJK SC"/>
                <w:color w:val="000000"/>
                <w:sz w:val="19"/>
              </w:rPr>
              <w:t xml:space="preserve">Volume Ten — The Chapter on Intellectual Property and Marriage and Family</w:t>
            </w:r>
            <w:bookmarkEnd w:id="152"/>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3"/>
    <w:bookmarkStart w:id="154" w:name="Xdbb1ff46af5702834b17d3baa1ba53bbe5eb520"/>
    <w:p>
      <w:pPr>
        <w:pStyle w:val="Heading3"/>
        <w:spacing w:after="120" w:line="312" w:lineRule="auto"/>
        <w:jc w:val="left"/>
      </w:pPr>
      <w:r>
        <w:rPr>
          <w:rFonts w:ascii="DejaVu Serif" w:hAnsi="DejaVu Serif" w:eastAsia="Noto Serif CJK SC"/>
          <w:color w:val="000000"/>
          <w:sz w:val="26"/>
        </w:rPr>
        <w:t xml:space="preserve">Article 100 【IPR: Intellectual Property Rights】</w:t>
      </w:r>
    </w:p>
    <w:p>
      <w:pPr>
        <w:pStyle w:val="FirstParagraph"/>
        <w:spacing w:after="120" w:line="312" w:lineRule="auto"/>
      </w:pPr>
      <w:r>
        <w:rPr>
          <w:rFonts w:ascii="DejaVu Serif" w:hAnsi="DejaVu Serif" w:eastAsia="Noto Serif CJK SC"/>
          <w:color w:val="000000"/>
          <w:sz w:val="22"/>
        </w:rPr>
        <w:t xml:space="preserve">Intellectual property is the assetization of the fruits of intellectual labor, and is one pillar of the Financial Ark.</w:t>
      </w:r>
    </w:p>
    <w:tbl>
      <w:tblPr>
        <w:tblStyle w:val="Table"/>
        <w:tblW w:type="pct" w:w="501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0"/>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Intellectual property is the assetization of the fruits of intellectual labor, and is one pillar of the Financial Ark.</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meaning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intellectual property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assetization of intellectual fruits, being a great pillar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Financial Ark</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(Articles 100 to 103 together form the four provisions on IPR.)</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8-5 【Non-Monetary Contributions Including IPR】 and Article 21 【The Final Goal Including IPR】, showing the Author’s financial outlook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IPR as an asset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101 to 103, Article 8-5, Article 21.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4"/>
    <w:bookmarkStart w:id="155" w:name="X7f7c4bb15bdd8cf63fc209214720ca0e83bae92"/>
    <w:p>
      <w:pPr>
        <w:pStyle w:val="Heading3"/>
        <w:spacing w:after="120" w:line="312" w:lineRule="auto"/>
        <w:jc w:val="left"/>
      </w:pPr>
      <w:r>
        <w:rPr>
          <w:rFonts w:ascii="DejaVu Serif" w:hAnsi="DejaVu Serif" w:eastAsia="Noto Serif CJK SC"/>
          <w:color w:val="000000"/>
          <w:sz w:val="26"/>
        </w:rPr>
        <w:t xml:space="preserve">Article 101 【Copyright and Its Handling Principles】</w:t>
      </w:r>
    </w:p>
    <w:p>
      <w:pPr>
        <w:pStyle w:val="FirstParagraph"/>
        <w:spacing w:after="120" w:line="312" w:lineRule="auto"/>
      </w:pPr>
      <w:r>
        <w:rPr>
          <w:rFonts w:ascii="DejaVu Serif" w:hAnsi="DejaVu Serif" w:eastAsia="Noto Serif CJK SC"/>
          <w:color w:val="000000"/>
          <w:sz w:val="22"/>
        </w:rPr>
        <w:t xml:space="preserve">Copyright is a branch under intellectual property, and a pillar under a pillar of the Financial Ark; it is enjoyed specifically through the publication of the individual’s innovative and individualized books, audio and video.</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2"/>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Copyright is a branch under intellectual property, and a pillar under a pillar of the Financial Ark; it is enjoyed specifically through the publication of the individual’s innovative and individualized books, audio and video.</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copyright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 pillar of a pillar of the Financial Ark, enjoyed through the publication of books, audio and video.</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2’s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multilingual writer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Article 53’s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multilingual writing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Author’s life takes writing and publishing as the essence of IPR.</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 Article 53, Article 100.</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5"/>
    <w:bookmarkStart w:id="156" w:name="X2a437d80f09f3524877589d5fe69b8a0b1c7105"/>
    <w:p>
      <w:pPr>
        <w:pStyle w:val="Heading3"/>
        <w:spacing w:after="120" w:line="312" w:lineRule="auto"/>
        <w:jc w:val="left"/>
      </w:pPr>
      <w:r>
        <w:rPr>
          <w:rFonts w:ascii="DejaVu Serif" w:hAnsi="DejaVu Serif" w:eastAsia="Noto Serif CJK SC"/>
          <w:color w:val="000000"/>
          <w:sz w:val="26"/>
        </w:rPr>
        <w:t xml:space="preserve">Article 102 【Trademark Rights and Their Handling Principles】</w:t>
      </w:r>
    </w:p>
    <w:p>
      <w:pPr>
        <w:pStyle w:val="FirstParagraph"/>
        <w:spacing w:after="120" w:line="312" w:lineRule="auto"/>
      </w:pPr>
      <w:r>
        <w:rPr>
          <w:rFonts w:ascii="DejaVu Serif" w:hAnsi="DejaVu Serif" w:eastAsia="Noto Serif CJK SC"/>
          <w:color w:val="000000"/>
          <w:sz w:val="22"/>
        </w:rPr>
        <w:t xml:space="preserve">Trademark rights are a branch under intellectual property, and a pillar under a pillar of the Financial Ark; they are enjoyed specifically through the individual’s act of registering a commercial mark.</w:t>
      </w:r>
    </w:p>
    <w:tbl>
      <w:tblPr>
        <w:tblStyle w:val="Table"/>
        <w:tblW w:type="pct" w:w="502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Trademark rights are a branch under intellectual property, and a pillar under a pillar of the Financial Ark; they are enjoyed specifically through the individual’s act of registering a commercial mark.</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trademark rights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rights enjoyed through the registration of a commercial mark.</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100 and Article 8 (structurally establishing companies); a trademark is the foundation of brand assets.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100, Article 103, Article 8.</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6"/>
    <w:bookmarkStart w:id="157" w:name="Xd34b8d9f87da55df39dad76307bd02f3587ad5b"/>
    <w:p>
      <w:pPr>
        <w:pStyle w:val="Heading3"/>
        <w:spacing w:after="120" w:line="312" w:lineRule="auto"/>
        <w:jc w:val="left"/>
      </w:pPr>
      <w:r>
        <w:rPr>
          <w:rFonts w:ascii="DejaVu Serif" w:hAnsi="DejaVu Serif" w:eastAsia="Noto Serif CJK SC"/>
          <w:color w:val="000000"/>
          <w:sz w:val="26"/>
        </w:rPr>
        <w:t xml:space="preserve">Article 103 【Patent Rights and Their Handling Principles】</w:t>
      </w:r>
    </w:p>
    <w:p>
      <w:pPr>
        <w:pStyle w:val="FirstParagraph"/>
        <w:spacing w:after="120" w:line="312" w:lineRule="auto"/>
      </w:pPr>
      <w:r>
        <w:rPr>
          <w:rFonts w:ascii="DejaVu Serif" w:hAnsi="DejaVu Serif" w:eastAsia="Noto Serif CJK SC"/>
          <w:color w:val="000000"/>
          <w:sz w:val="22"/>
        </w:rPr>
        <w:t xml:space="preserve">Patent rights are a branch under intellectual property, and a pillar under a pillar of the Financial Ark; they are enjoyed specifically through the individual’s act of creating an unprecedented subject matter (technical process, design, etc.) and applying for and obtaining a patent in accordance with law.</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Patent rights are a branch under intellectual property, and a pillar under a pillar of the Financial Ark; they are enjoyed specifically through the individual’s act of creating an unprecedented subject matter (technical process, design, etc.) and applying for and obtaining a patent in accordance with law.</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patent rights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rights enjoyed through creating an unprecedented subject matter and applying for it.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100 and Article 102; the three rights (copyright, trademark rights and patent rights) together form the IPR system.</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100, Article 102.</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7"/>
    <w:bookmarkStart w:id="158" w:name="X620ea2848ef0cc5020068bc6d3e3d7a84a97555"/>
    <w:p>
      <w:pPr>
        <w:pStyle w:val="Heading3"/>
        <w:spacing w:after="120" w:line="312" w:lineRule="auto"/>
        <w:jc w:val="left"/>
      </w:pPr>
      <w:r>
        <w:rPr>
          <w:rFonts w:ascii="DejaVu Serif" w:hAnsi="DejaVu Serif" w:eastAsia="Noto Serif CJK SC"/>
          <w:color w:val="000000"/>
          <w:sz w:val="26"/>
        </w:rPr>
        <w:t xml:space="preserve">Article 104 【Cognition Concerning Marriage and the Essence of Marriage】</w:t>
      </w:r>
    </w:p>
    <w:p>
      <w:pPr>
        <w:pStyle w:val="FirstParagraph"/>
        <w:spacing w:after="120" w:line="312" w:lineRule="auto"/>
      </w:pPr>
      <w:r>
        <w:rPr>
          <w:rFonts w:ascii="DejaVu Serif" w:hAnsi="DejaVu Serif" w:eastAsia="Noto Serif CJK SC"/>
          <w:color w:val="000000"/>
          <w:sz w:val="22"/>
        </w:rPr>
        <w:t xml:space="preserve">The essence of marriage is the integration and shared common use of resources between one person and another on the basis of reducing transaction costs.</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7"/>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marriage is the integration and shared common use of resources between one person and another on the basis of reducing transaction costs.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Taking an essentialist perspective, this article dissolves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marriage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into an institutional arrangement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resource integration and shared common use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stripping away the romantic cloak and pointing directly at the economic essence.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Articles 36 and 37 and Article 105. By clarifying its essence, one knows that whether to conclude a marriage should be determined by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whether it conforms to the fundamental interests and freedom of the Author’s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36).</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36, Article 37, Article 105, Annex A.04.001.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8"/>
    <w:bookmarkStart w:id="159" w:name="X10e46b13053b4c0b09938adae3aec68facb17b4"/>
    <w:p>
      <w:pPr>
        <w:pStyle w:val="Heading3"/>
        <w:spacing w:after="120" w:line="312" w:lineRule="auto"/>
        <w:jc w:val="left"/>
      </w:pPr>
      <w:r>
        <w:rPr>
          <w:rFonts w:ascii="DejaVu Serif" w:hAnsi="DejaVu Serif" w:eastAsia="Noto Serif CJK SC"/>
          <w:color w:val="000000"/>
          <w:sz w:val="26"/>
        </w:rPr>
        <w:t xml:space="preserve">Article 105 【Ranking of Values Concerning Aspiration and Kinship】</w:t>
      </w:r>
    </w:p>
    <w:p>
      <w:pPr>
        <w:pStyle w:val="FirstParagraph"/>
        <w:spacing w:after="120" w:line="312" w:lineRule="auto"/>
      </w:pPr>
      <w:r>
        <w:rPr>
          <w:rFonts w:ascii="DejaVu Serif" w:hAnsi="DejaVu Serif" w:eastAsia="Noto Serif CJK SC"/>
          <w:color w:val="000000"/>
          <w:sz w:val="22"/>
        </w:rPr>
        <w:t xml:space="preserve">The Author in principle holds that consistency of aspiration is greater than operating ability, which is greater than kinship.</w:t>
      </w:r>
    </w:p>
    <w:tbl>
      <w:tblPr>
        <w:tblStyle w:val="Table"/>
        <w:tblW w:type="pct" w:w="501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7"/>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 in principle holds that consistency of aspiration is greater than operating ability, which is greater than kinship.</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ranking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aspiration – ability – kinship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consistency of aspiration highest, operating ability next, kinship lower still.</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ranking overturns the traditional idea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blood is supreme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is akin to Article 44 【The Mode of Thinking Determines Life】 and Article 53. It is the value criterion of the Author’s choice of persons and of inheritance (Article 106).</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106, Article 44, Article 121.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9"/>
    <w:bookmarkStart w:id="161" w:name="X79a580049a29d5e501e747d0e6e770633541839"/>
    <w:p>
      <w:pPr>
        <w:pStyle w:val="Heading3"/>
        <w:spacing w:after="120" w:line="312" w:lineRule="auto"/>
        <w:jc w:val="left"/>
      </w:pPr>
      <w:r>
        <w:rPr>
          <w:rFonts w:ascii="DejaVu Serif" w:hAnsi="DejaVu Serif" w:eastAsia="Noto Serif CJK SC"/>
          <w:color w:val="000000"/>
          <w:sz w:val="26"/>
        </w:rPr>
        <w:t xml:space="preserve">Article 106 【On Wills, Bequests and the Disposal of Related Subject Matter】 the Author’s life estate and the property of the Financial Ark</w:t>
      </w:r>
    </w:p>
    <w:p>
      <w:pPr>
        <w:pStyle w:val="FirstParagraph"/>
        <w:spacing w:after="120" w:line="312" w:lineRule="auto"/>
      </w:pPr>
      <w:r>
        <w:rPr>
          <w:rFonts w:ascii="DejaVu Serif" w:hAnsi="DejaVu Serif" w:eastAsia="Noto Serif CJK SC"/>
          <w:color w:val="000000"/>
          <w:sz w:val="22"/>
        </w:rPr>
        <w:t xml:space="preserve">The order of the objects of the bequest is as follows:</w:t>
      </w:r>
    </w:p>
    <w:p>
      <w:pPr>
        <w:numPr>
          <w:ilvl w:val="0"/>
          <w:numId w:val="1022"/>
        </w:numPr>
        <w:spacing w:after="120" w:line="312" w:lineRule="auto"/>
      </w:pPr>
      <w:r>
        <w:rPr>
          <w:rFonts w:ascii="DejaVu Serif" w:hAnsi="DejaVu Serif" w:eastAsia="Noto Serif CJK SC"/>
          <w:color w:val="000000"/>
          <w:sz w:val="22"/>
        </w:rPr>
        <w:t xml:space="preserve">a spouse who shares a common aspiration with the Author’s planning; (2) a spouse who, though not sharing a common aspiration with the Author’s planning, can properly operate the existing assets; (3) a son or daughter who shares a common aspiration; (4) a son or daughter who, though not sharing a common aspiration with the Author’s planning, can properly operate the existing assets;</w:t>
      </w:r>
    </w:p>
    <w:p>
      <w:pPr>
        <w:numPr>
          <w:ilvl w:val="0"/>
          <w:numId w:val="1022"/>
        </w:numPr>
        <w:spacing w:after="120" w:line="312" w:lineRule="auto"/>
      </w:pPr>
      <w:r>
        <w:rPr>
          <w:rFonts w:ascii="DejaVu Serif" w:hAnsi="DejaVu Serif" w:eastAsia="Noto Serif CJK SC"/>
          <w:color w:val="000000"/>
          <w:sz w:val="22"/>
        </w:rPr>
        <w:t xml:space="preserve">other members of the company’s shareholders’ meeting who share a common aspiration with the Author’s planning; (6) other members of the company’s shareholders’ meeting who, though not sharing a common aspiration with the Author’s planning, can properly operate the existing assets; (7) other personnel of this company who share a common aspiration with the Author’s planning (managers or company members, civil and commercial partners, civil and commercial cooperators, engaged personnel, civil and commercial partners, civil and commercial cooperators, engaged personnel); (8) other members of this company who, though not sharing a common aspiration with the Author’s planning, can properly operate the existing assets; (9) external good-faith third parties who, though not sharing a common aspiration with the Author’s planning, can properly operate the existing assets; (10) external good-faith third parties who, though not sharing a common aspiration with the Author’s planning, can properly operate the existing assets; #This provision clarifies the priority order of testamentary bequests, taking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consistency of aspiration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asset-operating ability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core criteria of determination, giving priority to safeguarding the sustainability of core undertakings and assets, and conforming to the principles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long-termism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7)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core-asset creation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31) of this Charter#.</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order of the objects of the bequest of the Author’s life estate and the property of the Financial Ark is as follows: (1) a spouse who shares a common aspiration with the Author’s planning; (2) a spouse who, though not sharing a common aspiration with the Author’s planning, can properly operate the existing assets; (3) a son or daughter who shares a common aspiration; (4) a son or daughter who, though not sharing a common aspiration with the Author’s planning, can properly operate the existing assets; (5) other members of the company’s shareholders’ meeting who share a common aspiration with the Author’s planning; (6) other members of the company’s shareholders’ meeting who, though not sharing a common aspiration with the Author’s planning, can properly operate the existing assets; (7) other personnel of this company who share a common aspiration with the Author’s planning (managers or civil and commercial partners, civil and commercial cooperators, engaged personnel, etc.); (8) other members of this company who, though not sharing a common aspiration with the Author’s planning, can properly operate the existing assets;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order of the objects of bequest and inheritance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with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consistency of aspiration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preceding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operating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kinship and colleagues ranked together.</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order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consistency of aspiration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primary criterion, carried on from Article 105 【Consistency of Aspiration Greater Than Kinship】, and is the embodiment of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view of inheritance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Wherever historical expressions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company members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managers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involved, they are understood in accordance with the express provision of the Charter’s terminology.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105, Article 41, Article 122.</w:t>
            </w:r>
          </w:p>
        </w:tc>
      </w:tr>
      <w:tr>
        <w:tc>
          <w:tcPr/>
          <w:p>
            <w:pPr>
              <w:pStyle w:val="Compact"/>
              <w:spacing w:after="40" w:line="288" w:lineRule="auto"/>
            </w:pPr>
          </w:p>
        </w:tc>
      </w:tr>
      <w:tr>
        <w:tc>
          <w:tcPr/>
          <w:p>
            <w:pPr>
              <w:pStyle w:val="Heading2"/>
              <w:spacing w:after="40" w:line="288" w:lineRule="auto"/>
              <w:jc w:val="left"/>
            </w:pPr>
            <w:bookmarkStart w:id="160" w:name="Xa8af339363cb1804518edca73eba128876220f7"/>
            <w:r>
              <w:rPr>
                <w:rFonts w:ascii="DejaVu Serif" w:hAnsi="DejaVu Serif" w:eastAsia="Noto Sans CJK SC"/>
                <w:color w:val="000000"/>
                <w:sz w:val="19"/>
              </w:rPr>
              <w:t xml:space="preserve">Volume Eleven — The Chapter on Growth and Iteration</w:t>
            </w:r>
            <w:bookmarkEnd w:id="160"/>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1"/>
    <w:bookmarkStart w:id="162" w:name="X64a10bbb91cde554cdd8b772cb9227819c1ac2d"/>
    <w:p>
      <w:pPr>
        <w:pStyle w:val="Heading3"/>
        <w:spacing w:after="120" w:line="312" w:lineRule="auto"/>
        <w:jc w:val="left"/>
      </w:pPr>
      <w:r>
        <w:rPr>
          <w:rFonts w:ascii="DejaVu Serif" w:hAnsi="DejaVu Serif" w:eastAsia="Noto Serif CJK SC"/>
          <w:color w:val="000000"/>
          <w:sz w:val="26"/>
        </w:rPr>
        <w:t xml:space="preserve">Article 107 【Smooth Career-Industry Leaps, Part One】</w:t>
      </w:r>
    </w:p>
    <w:p>
      <w:pPr>
        <w:pStyle w:val="FirstParagraph"/>
        <w:spacing w:after="120" w:line="312" w:lineRule="auto"/>
      </w:pPr>
      <w:r>
        <w:rPr>
          <w:rFonts w:ascii="DejaVu Serif" w:hAnsi="DejaVu Serif" w:eastAsia="Noto Serif CJK SC"/>
          <w:color w:val="000000"/>
          <w:sz w:val="22"/>
        </w:rPr>
        <w:t xml:space="preserve">After personally accomplishing a thing, one founds a company; for the specific industry one may refer to the following path and adjust it according to one’s own conditions: consulting / communication / media — project planning — agency operation — the technology industry — the leasing industry — the financial-investment industry (individual investor — investment company — private fund and its consulting) #This provision provides the stage-by-stage path of career leaps, connecting with the strategic planning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professional services → investment company → private fund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direction of life advancement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Article 8, ensuring the continuity of career transformation#.</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8"/>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After personally accomplishing a thing, one founds a company; for the specific industry one may refer to the following path and adjust it according to one’s own conditions: consulting / communication / media — project planning — agency operation — the technology industry — the leasing industry — the financial-investment industry (individual investor — investment company — private fund and its consulting).</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path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career leaps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accomplish one thing and found one company, with the industry progressing along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consulting → planning → agency → technology → leasing → financial investment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8-2 【Sequential Direction】, Article 8 and Article 59, showing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realizing life advancement through career advancement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 Article 8-2, Article 59.</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2"/>
    <w:bookmarkStart w:id="163" w:name="article-108-bug-discovery-and-iteration"/>
    <w:p>
      <w:pPr>
        <w:pStyle w:val="Heading3"/>
        <w:spacing w:after="120" w:line="312" w:lineRule="auto"/>
        <w:jc w:val="left"/>
      </w:pPr>
      <w:r>
        <w:rPr>
          <w:rFonts w:ascii="DejaVu Serif" w:hAnsi="DejaVu Serif" w:eastAsia="Noto Serif CJK SC"/>
          <w:color w:val="000000"/>
          <w:sz w:val="26"/>
        </w:rPr>
        <w:t xml:space="preserve">Article 108 【Bug Discovery and Iteration】</w:t>
      </w:r>
    </w:p>
    <w:p>
      <w:pPr>
        <w:pStyle w:val="FirstParagraph"/>
        <w:spacing w:after="120" w:line="312" w:lineRule="auto"/>
      </w:pPr>
      <w:r>
        <w:rPr>
          <w:rFonts w:ascii="DejaVu Serif" w:hAnsi="DejaVu Serif" w:eastAsia="Noto Serif CJK SC"/>
          <w:color w:val="000000"/>
          <w:sz w:val="22"/>
        </w:rPr>
        <w:t xml:space="preserve">Life’s genuine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cheat-code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stems from shifting attention from manipulating or controlling others to self-exploration, self-discovery, self-operation, self-reflection and self-iteration; only by continuously changing and correcting oneself can one continuously approach one’s ideal blueprint.</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Life’s genuine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cheat-code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stems from shifting attention from manipulating or controlling others to self-exploration, self-discovery, self-operation, self-reflection and self-iteration; only by continuously changing and correcting oneself can one continuously approach one’s ideal blueprint.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growth outlook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self-iteration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genuine breakthrough lies in turning inward to introspect and iterate oneself.</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6’s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dare to correct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Article 109 【Growth Thinking】 and Article 119 【Review】.</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 Article 109, Article 119.</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3"/>
    <w:bookmarkStart w:id="164" w:name="article-109-a-growth-mindset"/>
    <w:p>
      <w:pPr>
        <w:pStyle w:val="Heading3"/>
        <w:spacing w:after="120" w:line="312" w:lineRule="auto"/>
        <w:jc w:val="left"/>
      </w:pPr>
      <w:r>
        <w:rPr>
          <w:rFonts w:ascii="DejaVu Serif" w:hAnsi="DejaVu Serif" w:eastAsia="Noto Serif CJK SC"/>
          <w:color w:val="000000"/>
          <w:sz w:val="26"/>
        </w:rPr>
        <w:t xml:space="preserve">Article 109 【A Growth Mindset】</w:t>
      </w:r>
    </w:p>
    <w:p>
      <w:pPr>
        <w:pStyle w:val="FirstParagraph"/>
        <w:spacing w:after="120" w:line="312" w:lineRule="auto"/>
      </w:pPr>
      <w:r>
        <w:rPr>
          <w:rFonts w:ascii="DejaVu Serif" w:hAnsi="DejaVu Serif" w:eastAsia="Noto Serif CJK SC"/>
          <w:color w:val="000000"/>
          <w:sz w:val="22"/>
        </w:rPr>
        <w:t xml:space="preserve">Oneself and others can always be better; one can never, and also need not, pursue the absolute best (extreme perfectionism, absolute 100-point thinking); one must always iterate, tearing down and rebuilding one’s own modes of thinking and conduct — a mode of thinking and a mental attitude.</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Oneself and others can always be better; one can never, and also need not, pursue the absolute best (extreme perfectionism, absolute 100-point thinking); one must always iterate, tearing down and rebuilding one’s own modes of thinking and conduct — a mode of thinking and a mental attitude.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growth mindset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always able to be better, always iterating, not pursuing absolute perfection.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108 and Article 67, being the psychological foundation of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continuous evolution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108, Article 67, Article 70.</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4"/>
    <w:bookmarkStart w:id="165" w:name="Xd517d7e56812fdf7ccdce2a12a2d698f06c0780"/>
    <w:p>
      <w:pPr>
        <w:pStyle w:val="Heading3"/>
        <w:spacing w:after="120" w:line="312" w:lineRule="auto"/>
        <w:jc w:val="left"/>
      </w:pPr>
      <w:r>
        <w:rPr>
          <w:rFonts w:ascii="DejaVu Serif" w:hAnsi="DejaVu Serif" w:eastAsia="Noto Serif CJK SC"/>
          <w:color w:val="000000"/>
          <w:sz w:val="26"/>
        </w:rPr>
        <w:t xml:space="preserve">Article 110 【A System of Withdrawal from Compliance with Moral Views One Does Not Endorse】</w:t>
      </w:r>
    </w:p>
    <w:p>
      <w:pPr>
        <w:pStyle w:val="FirstParagraph"/>
        <w:spacing w:after="120" w:line="312" w:lineRule="auto"/>
      </w:pPr>
      <w:r>
        <w:rPr>
          <w:rFonts w:ascii="DejaVu Serif" w:hAnsi="DejaVu Serif" w:eastAsia="Noto Serif CJK SC"/>
          <w:color w:val="000000"/>
          <w:sz w:val="22"/>
        </w:rPr>
        <w:t xml:space="preserve">At all times, as to a view that is endorsed by the public but that one genuinely does not endorse, the Author has the right to choose at any time to withdraw from the said activity and group.</w:t>
      </w:r>
    </w:p>
    <w:tbl>
      <w:tblPr>
        <w:tblStyle w:val="Table"/>
        <w:tblW w:type="pct" w:w="502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7"/>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all times, as to a view that is endorsed by the public but that one genuinely does not endorse, the Author has the right to choose at any time to withdraw from the said activity and group.</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right of withdrawal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whatever is not in accord with the Author’s views, he may withdraw from at any time.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33 【Maximum Self-Determination】, Article 115 【Independence】 and Article 110, being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autonomous choice, not to be captured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 Article 115.</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5"/>
    <w:bookmarkStart w:id="166" w:name="Xbc550d111a4d8de67eef11021b8e1a463d830a8"/>
    <w:p>
      <w:pPr>
        <w:pStyle w:val="Heading3"/>
        <w:spacing w:after="120" w:line="312" w:lineRule="auto"/>
        <w:jc w:val="left"/>
      </w:pPr>
      <w:r>
        <w:rPr>
          <w:rFonts w:ascii="DejaVu Serif" w:hAnsi="DejaVu Serif" w:eastAsia="Noto Serif CJK SC"/>
          <w:color w:val="000000"/>
          <w:sz w:val="26"/>
        </w:rPr>
        <w:t xml:space="preserve">Article 111 【The Essential Logic of Maximizing Altruism】</w:t>
      </w:r>
    </w:p>
    <w:p>
      <w:pPr>
        <w:pStyle w:val="FirstParagraph"/>
        <w:spacing w:after="120" w:line="312" w:lineRule="auto"/>
      </w:pPr>
      <w:r>
        <w:rPr>
          <w:rFonts w:ascii="DejaVu Serif" w:hAnsi="DejaVu Serif" w:eastAsia="Noto Serif CJK SC"/>
          <w:color w:val="000000"/>
          <w:sz w:val="22"/>
        </w:rPr>
        <w:t xml:space="preserve">The essential logic of maximizing altruism is, through a certain design of institutions and mechanism processes, to enable all participating parties (every person) to have a sense of participation, acquisition, gameplay, joy, achievement and dream-fulfillment, and ultimately, within the said designed process, maximally to realize their own reasonable dreams.</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essential logic of maximizing altruism is, through a certain design of institutions and mechanism processes, to enable all participating parties (every person) to have a sense of participation, acquisition, gameplay, joy, achievement and dream-fulfillment, and ultimately, within the said designed process, maximally to realize their own reasonable dreams.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essence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maximizing 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through institutional design enabling all parties to have the complete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six senses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to fulfil their dreams.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six senses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(participation, acquisition, gameplay, joy, achievement, dream-fulfillment) are the criteria of the Author’s designing institutions and organizations, akin to Articles 72 and 73.</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72, Article 73, Article 56.</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6"/>
    <w:bookmarkStart w:id="167" w:name="Xd5cf8ad487cab3c9d2b492b48e12e0e9b92c202"/>
    <w:p>
      <w:pPr>
        <w:pStyle w:val="Heading3"/>
        <w:spacing w:after="120" w:line="312" w:lineRule="auto"/>
        <w:jc w:val="left"/>
      </w:pPr>
      <w:r>
        <w:rPr>
          <w:rFonts w:ascii="DejaVu Serif" w:hAnsi="DejaVu Serif" w:eastAsia="Noto Serif CJK SC"/>
          <w:color w:val="000000"/>
          <w:sz w:val="26"/>
        </w:rPr>
        <w:t xml:space="preserve">Article 112 【The Principle of Prioritizing Praise of Others on the Premise of Inner Objective Dialectical Neutralism】</w:t>
      </w:r>
    </w:p>
    <w:p>
      <w:pPr>
        <w:pStyle w:val="FirstParagraph"/>
        <w:spacing w:after="120" w:line="312" w:lineRule="auto"/>
      </w:pPr>
      <w:r>
        <w:rPr>
          <w:rFonts w:ascii="DejaVu Serif" w:hAnsi="DejaVu Serif" w:eastAsia="Noto Serif CJK SC"/>
          <w:color w:val="000000"/>
          <w:sz w:val="22"/>
        </w:rPr>
        <w:t xml:space="preserve">The Author upholds the principle of prioritizing praise of external persons on the premise of inner objective dialectical neutralism; that is, in most cases, there is no need to point out others’ errors or to argue with persons of other circles about differences of values; one merely retains one’s own opinion while maintaining priority of external praise, except in any of the following circumstances: (1) where the counterpart is a paying client consulting the Author for a fee on a specific matter, and the specific matter here is the same as the matter requiring the pointing out of another’s error or the difference of values; (2) where not pointing out the said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other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error or the matter of difference of values may cause the Author’s core interests to suffer loss, including but not limited to the following matters: paragraph 1. the counterpart is the Author’s core shareholder, partner or senior manager; paragraph 2. the counterpart is the Author’s core backbone member, civil and commercial partner, civil and commercial cooperator, engaged personnel, civil and commercial partner, civil and commercial cooperator, engaged personnel; #This provision balances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neutral dialectics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protection of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both maintaining interpersonal harmony and guarding against harm to core interests, connecting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all matters are equal exchanges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35) of this Charter#.</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 upholds the principle of prioritizing praise of external persons on the premise of inner objective dialectical neutralism; that is, in most cases, there is no need to point out others’ errors or to argue with persons of other circles about differences of values; one merely retains one’s own opinion while maintaining priority of external praise, except in any of the following circumstances: (1) where the counterpart is a paying client consulting the Author for a fee on a specific matter, and the specific matter here is the same as the matter requiring the pointing out of another’s error or the difference of values; (2) where not pointing out the said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other 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error or the matter of difference of values may cause the Author’s core interests to suffer loss …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prioritizing praise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inwardly objective and neutral, outwardly praising first, not readily pointing out errors and arguing; only as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consulting matters of paying clients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matters involving the Author’s core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there exceptions.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 Author’s method of dealing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harmony in diversity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akin to Article 33 【Not Arguing, Only Suggesting】 and Article 118 【Equal Respect】.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 Article 35, Article 118.</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7"/>
    <w:bookmarkStart w:id="168" w:name="X5f529485773c2184da6d194140f107a562487a2"/>
    <w:p>
      <w:pPr>
        <w:pStyle w:val="Heading3"/>
        <w:spacing w:after="120" w:line="312" w:lineRule="auto"/>
        <w:jc w:val="left"/>
      </w:pPr>
      <w:r>
        <w:rPr>
          <w:rFonts w:ascii="DejaVu Serif" w:hAnsi="DejaVu Serif" w:eastAsia="Noto Serif CJK SC"/>
          <w:color w:val="000000"/>
          <w:sz w:val="26"/>
        </w:rPr>
        <w:t xml:space="preserve">Article 113 【The Principle of Acting from a Willing Heart】</w:t>
      </w:r>
    </w:p>
    <w:p>
      <w:pPr>
        <w:pStyle w:val="FirstParagraph"/>
        <w:spacing w:after="120" w:line="312" w:lineRule="auto"/>
      </w:pPr>
      <w:r>
        <w:rPr>
          <w:rFonts w:ascii="DejaVu Serif" w:hAnsi="DejaVu Serif" w:eastAsia="Noto Serif CJK SC"/>
          <w:color w:val="000000"/>
          <w:sz w:val="22"/>
        </w:rPr>
        <w:t xml:space="preserve">In any action of the Author at any moment, so long as it is performed, the Author should ensure that the action is based on the willingness of the subjective (inner conceptual) person. Where not subjectively willing, or unless adjusted to a willing state, the Author in principle undertakes no action. The following circumstances are excepted: (1) where the Author’s own right to life and subsistence encounter a substantive realistic threat, so that special action must immediately be taken; (2) where the Author’s own personal liberty, freedom of psychological state, freedom of thought and right of autonomous decision encounter a substantive realistic threat, so that special action must immediately be taken; (3) where based on the strict-stipulation undertaking of a genuine, wholly autonomously decided, non-subconscious oral, written or data-teletransmitted agreement.</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any action of the Author at any moment, so long as it is performed, the Author should ensure that the action is based on the willingness of the subjective (inner conceptual) person. Where not subjectively willing, or unless adjusted to a willing state, the Author in principle undertakes no action. The following circumstances are excepted: (1) where the Author’s own right to life and subsistence encounter a substantive realistic threat, so that special action must immediately be taken; (2) where the Author’s own personal liberty, freedom of psychological state, freedom of thought and right of autonomous decision encounter a substantive realistic threat, so that special action must immediately be taken; (3) where based on the strict-stipulation undertaking of a genuine, wholly autonomously decided, non-subconscious oral, written or data-teletransmitted agreement.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willing heart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action must be based on subjective willingness; if unwilling, one does not act (except for emergencies and strict stipulations).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 third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(following Articles 26 and 33), showing the Author’s life posture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the heart’s wish as the criterion of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26, Article 33, Article 34.</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8"/>
    <w:bookmarkStart w:id="169" w:name="X048b48dd8aee0e1d410861d87659d503d6b4511"/>
    <w:p>
      <w:pPr>
        <w:pStyle w:val="Heading3"/>
        <w:spacing w:after="120" w:line="312" w:lineRule="auto"/>
        <w:jc w:val="left"/>
      </w:pPr>
      <w:r>
        <w:rPr>
          <w:rFonts w:ascii="DejaVu Serif" w:hAnsi="DejaVu Serif" w:eastAsia="Noto Serif CJK SC"/>
          <w:color w:val="000000"/>
          <w:sz w:val="26"/>
        </w:rPr>
        <w:t xml:space="preserve">Article 114 【The Principle of Payment-Based Screening】</w:t>
      </w:r>
    </w:p>
    <w:p>
      <w:pPr>
        <w:pStyle w:val="FirstParagraph"/>
        <w:spacing w:after="120" w:line="312" w:lineRule="auto"/>
      </w:pPr>
      <w:r>
        <w:rPr>
          <w:rFonts w:ascii="DejaVu Serif" w:hAnsi="DejaVu Serif" w:eastAsia="Noto Serif CJK SC"/>
          <w:color w:val="000000"/>
          <w:sz w:val="22"/>
        </w:rPr>
        <w:t xml:space="preserve">When another person seeks help from the Author or asks the Author to solve a problem, the Author should in principle require the other to pay; the subsequent effects are as follows: (1) screening out those who acknowledge by payment, and serving them in a concentrated way, is conducive to safeguarding the Author from the threat of unnecessary trouble (including but not limited to threats to person, life and health); (2) it is conducive to finding people of the same frequency; (3) it is conducive to coordinating the allocation of the Author’s energy, time, etc.; (4) it is conducive to ensuring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non-payers obtain no service from the Author, gradually raising the monetary value of the Author’s intangible resources such as time, energy and attention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(5) it is conducive to eliminating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freeloaders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barnacle-type consumers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 like, screening high-quality clients, helping to raise the efficiency of making money in one’s life, and at the same time optimizing and transforming the persons close to oneself with whom one closely deals, indirectly optimizing the quality of the Author’s life. #This provision optimizes resource allocation 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payment-based screening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conforming to the principles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concentrating on the most core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27)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positioning clients toward high-quality groups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85) of this Charter, and raising the input–output ratio of time and energy#.</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another person seeks help from the Author or asks the Author to solve a problem, the Author should in principle require the other to pay; the subsequent effects are as follows: (1) screening out those who acknowledge by payment, and serving them in a concentrated way, is conducive to safeguarding the Author from the threat of unnecessary trouble (including threats to person, life and health); (2) it is conducive to finding people of the same frequency; (3) it is conducive to coordinating the allocation of the Author’s energy, time, etc.; (4) it is conducive to ensuring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non-payers obtain no service from the Author, gradually raising the monetary value of the Author’s intangible resources such as time, energy and attention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(5) it is conducive to eliminating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freeloaders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barnacle-type consumers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 like, screening high-quality clients, helping to raise the efficiency of making money in one’s life …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payment-based screening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helping others in principle requires payment, so as to screen for quality and safeguard oneself.</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84 【Services upon Invitation】, Article 85 【Client Positioning】 and Article 116, being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safeguarding oneself through the exchange of value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84, Article 85, Article 116.</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9"/>
    <w:bookmarkStart w:id="170" w:name="X52d29f5915f85ecf4171c3ba06ada3c7ed269a5"/>
    <w:p>
      <w:pPr>
        <w:pStyle w:val="Heading3"/>
        <w:spacing w:after="120" w:line="312" w:lineRule="auto"/>
        <w:jc w:val="left"/>
      </w:pPr>
      <w:r>
        <w:rPr>
          <w:rFonts w:ascii="DejaVu Serif" w:hAnsi="DejaVu Serif" w:eastAsia="Noto Serif CJK SC"/>
          <w:color w:val="000000"/>
          <w:sz w:val="26"/>
        </w:rPr>
        <w:t xml:space="preserve">Article 115 【The Principles of Independence and Individualization in Ways of Thinking and Living】</w:t>
      </w:r>
    </w:p>
    <w:p>
      <w:pPr>
        <w:pStyle w:val="FirstParagraph"/>
        <w:spacing w:after="120" w:line="312" w:lineRule="auto"/>
      </w:pPr>
      <w:r>
        <w:rPr>
          <w:rFonts w:ascii="DejaVu Serif" w:hAnsi="DejaVu Serif" w:eastAsia="Noto Serif CJK SC"/>
          <w:color w:val="000000"/>
          <w:sz w:val="22"/>
        </w:rPr>
        <w:t xml:space="preserve">Ordinary person = average person = the majority; therefore, if the Author intends to live a life that the average person (ordinary person) cannot live in an entire lifetime, he must act somewhat differently from the average person (the majority); at the same time he must find his ideal-type model, first studying the model’s mode of thinking and then studying the model’s mode of conduct, ultimately making his own mode of thinking, mode of action, business model and way of life become what the majority cannot imagine, and ultimately living the Author’s individualized ideal life.</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Ordinary person = average person = the majority; therefore, if the Author intends to live a life that the average person (ordinary person) cannot live in an entire lifetime, he must act somewhat differently from the average person (the majority); at the same time he must find his ideal-type model, first studying the model’s mode of thinking and then studying the model’s mode of conduct, ultimately making his own mode of thinking, mode of action, business model and way of life become what the majority cannot imagine, and ultimately living the Author’s individualized ideal life.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independence and individualization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to live an extraordinary life, one must do extraordinary things; first learn the ideal model’s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thinking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then its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conduct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emphasizes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thinking precedes conduct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akin to Article 44 【The Mode of Thinking Determines Life】 and Article 109 【Growth Thinking】.</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44, Article 109, Article 43.</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0"/>
    <w:bookmarkStart w:id="171" w:name="X841ea32552f45091d18e2e331cc57883a39a096"/>
    <w:p>
      <w:pPr>
        <w:pStyle w:val="Heading3"/>
        <w:spacing w:after="120" w:line="312" w:lineRule="auto"/>
        <w:jc w:val="left"/>
      </w:pPr>
      <w:r>
        <w:rPr>
          <w:rFonts w:ascii="DejaVu Serif" w:hAnsi="DejaVu Serif" w:eastAsia="Noto Serif CJK SC"/>
          <w:color w:val="000000"/>
          <w:sz w:val="26"/>
        </w:rPr>
        <w:t xml:space="preserve">Article 116 【The Minimum Necessary Evaluation Dimensions for Client Screening】</w:t>
      </w:r>
    </w:p>
    <w:p>
      <w:pPr>
        <w:pStyle w:val="FirstParagraph"/>
        <w:spacing w:after="120" w:line="312" w:lineRule="auto"/>
      </w:pPr>
      <w:r>
        <w:rPr>
          <w:rFonts w:ascii="DejaVu Serif" w:hAnsi="DejaVu Serif" w:eastAsia="Noto Serif CJK SC"/>
          <w:color w:val="000000"/>
          <w:sz w:val="22"/>
        </w:rPr>
        <w:t xml:space="preserve">In order to ensure client quality, the minimum necessary evaluation dimensions for client screening are summarized as follows: (1) the degree of stability of the client’s sustained love for the ideal state achieved by this service; (2) the degree of the client’s own clarity of purpose; (3) the client’s own ability to pay (the review of the client’s ability to pay should be relaxed at the outset of the venture, and the standard and requirements continuously raised as the scale of the venture company’s own cash flow increases); (4) the client’s own willingness to pay; (5) the intensity of the client’s own motivation to change the status quo and the intensity of action; #This provision clarifies the core dimensions of client screening, balancing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flexibility in the initial stage of a venture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quality control in the later stage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connecting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providing services upon invitation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84) of this Charter, and avoiding waste of resources#.</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order to ensure client quality, the minimum necessary evaluation dimensions for client screening are summarized as follows: (1) the degree of stability of the client’s sustained love for the ideal state achieved by this service; (2) the degree of the client’s own clarity of purpose; (3) the client’s own ability to pay (it should be relaxed at the outset of the venture and the standard continuously raised as the scale of cash flow increases); (4) the client’s own willingness to pay; (5) the intensity of the client’s own motivation to change the status quo and the intensity of action.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five dimensions of client screening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stability of love, clarity of purpose, ability to pay, willingness to pay, and intensity of the motivation to change.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85 and Article 114, being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choosing clients by standards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85, Article 114.</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1"/>
    <w:bookmarkStart w:id="172" w:name="X42e844793a94d76a4a0eedcc54090689f5bc9b4"/>
    <w:p>
      <w:pPr>
        <w:pStyle w:val="Heading3"/>
        <w:spacing w:after="120" w:line="312" w:lineRule="auto"/>
        <w:jc w:val="left"/>
      </w:pPr>
      <w:r>
        <w:rPr>
          <w:rFonts w:ascii="DejaVu Serif" w:hAnsi="DejaVu Serif" w:eastAsia="Noto Serif CJK SC"/>
          <w:color w:val="000000"/>
          <w:sz w:val="26"/>
        </w:rPr>
        <w:t xml:space="preserve">Article 117 【General Rules of Approach for Interpersonal Communication】</w:t>
      </w:r>
    </w:p>
    <w:p>
      <w:pPr>
        <w:pStyle w:val="FirstParagraph"/>
        <w:spacing w:after="120" w:line="312" w:lineRule="auto"/>
      </w:pPr>
      <w:r>
        <w:rPr>
          <w:rFonts w:ascii="DejaVu Serif" w:hAnsi="DejaVu Serif" w:eastAsia="Noto Serif CJK SC"/>
          <w:color w:val="000000"/>
          <w:sz w:val="22"/>
        </w:rPr>
        <w:t xml:space="preserve">In communicating with anyone, in principle begin with the most macro consensus, thanks and praise, first stating abstract macro words (conceptual or principled words, or industry terminology) concerning the theme and the persons, finance, things and events (start and end times, the space and place involved), and then gradually concretize, distinguishing themes and modules in the exchange, gradually refining and specifying (using metaphor or story-telling), upholding the integrated advancement of momentum, the Way, law, technique, instrument, idea (attitude — the actor’s own motive and psychological state at the time the conduct is done), action and result, and proceeding by the logic of necessarily mixing the abstract and the concrete; at the same time upholding good audio and written records, and upholding the principle of combining communication and recording.</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communicating with anyone, in principle begin with the most macro consensus, thanks and praise, first stating abstract macro words (conceptual or principled words, or industry terminology) concerning the theme and the persons, finance, things and events (start and end times, the space and place involved), and then gradually concretize, distinguishing themes and modules in the exchange, gradually refining and specifying (using metaphor or story-telling), upholding the integrated advancement of momentum, the Way, law, technique, instrument, idea (attitude), action and result, and proceeding by the logic of necessarily mixing the abstract and the concrete; at the same time upholding good audio and written records, and upholding the principle of combining communication and recording.</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 rules of interpersonal communication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from the macro to the concrete, from consensus to detail, adopting the integrated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momentum, Way, law, technique, instrument, idea, action, result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emphasizing records.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 Author’s communication methodology, akin to Article 35 【Equal Exchange】 and Article 32 【Taking the Person as the Starting Point】.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32, Article 35, Article 43.</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2"/>
    <w:bookmarkStart w:id="173" w:name="Xc41aefbf68be0887880cdca93a43db85ed52ca9"/>
    <w:p>
      <w:pPr>
        <w:pStyle w:val="Heading3"/>
        <w:spacing w:after="120" w:line="312" w:lineRule="auto"/>
        <w:jc w:val="left"/>
      </w:pPr>
      <w:r>
        <w:rPr>
          <w:rFonts w:ascii="DejaVu Serif" w:hAnsi="DejaVu Serif" w:eastAsia="Noto Serif CJK SC"/>
          <w:color w:val="000000"/>
          <w:sz w:val="26"/>
        </w:rPr>
        <w:t xml:space="preserve">Article 118 【The Meaning of Equal Respect for Others】</w:t>
      </w:r>
    </w:p>
    <w:p>
      <w:pPr>
        <w:pStyle w:val="FirstParagraph"/>
        <w:spacing w:after="120" w:line="312" w:lineRule="auto"/>
      </w:pPr>
      <w:r>
        <w:rPr>
          <w:rFonts w:ascii="DejaVu Serif" w:hAnsi="DejaVu Serif" w:eastAsia="Noto Serif CJK SC"/>
          <w:color w:val="000000"/>
          <w:sz w:val="22"/>
        </w:rPr>
        <w:t xml:space="preserve">The meaning of equal respect for others is as follows: (1) protecting the realization of one’s own short-, medium- and long-term wishes (interests) (so that service is not impaired); (2) protecting the Author from unnecessary personal harm; (3) being free from others’ counterattack, slander, etc.; (4) avoiding unnecessary public-security-administration and criminal punishment; (if genuinely necessary, then it is not within the scope of this provision’s restriction).</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meaning of equal respect for others is as follows: (1) protecting the realization of one’s own short-, medium- and long-term wishes (interests) (so that service is not impaired); (2) protecting the Author from unnecessary personal harm; (3) being free from others’ counterattack, slander, etc.; (4) avoiding unnecessary public-security-administration and criminal punishment; (if genuinely necessary, then it is not within the scope of this provision’s restriction).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reveals the meaning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equal respect for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not only a matter of morality, but in substance a matter of self-protection and the realization of interests.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explains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form of 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by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substance of self-interest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akin to Article 35 【Equal Exchange】 and Article 99 【Treating Others with an Equal Attitude】.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99, Article 67, Article 35.</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3"/>
    <w:bookmarkStart w:id="175" w:name="Xfdca4f96731228a205a788758632749c30a3875"/>
    <w:p>
      <w:pPr>
        <w:pStyle w:val="Heading3"/>
        <w:spacing w:after="120" w:line="312" w:lineRule="auto"/>
        <w:jc w:val="left"/>
      </w:pPr>
      <w:r>
        <w:rPr>
          <w:rFonts w:ascii="DejaVu Serif" w:hAnsi="DejaVu Serif" w:eastAsia="Noto Serif CJK SC"/>
          <w:color w:val="000000"/>
          <w:sz w:val="26"/>
        </w:rPr>
        <w:t xml:space="preserve">Article 119 【The Principle of Regular Review (Review-ization)】</w:t>
      </w:r>
    </w:p>
    <w:p>
      <w:pPr>
        <w:pStyle w:val="FirstParagraph"/>
        <w:spacing w:after="120" w:line="312" w:lineRule="auto"/>
      </w:pPr>
      <w:r>
        <w:rPr>
          <w:rFonts w:ascii="DejaVu Serif" w:hAnsi="DejaVu Serif" w:eastAsia="Noto Serif CJK SC"/>
          <w:color w:val="000000"/>
          <w:sz w:val="22"/>
        </w:rPr>
        <w:t xml:space="preserve">The Author’s summarization of life experience follows the rule that every experience must be reviewed, thought over and summarized down to the first-principles essence (the essence of human nature, human desires, interests &amp; the exchange of wishes), and thereafter one thinks from the first-principles essence in a movement from the intangible to the tangible and from the macro to the micro. #This provision strengthens the depth requirement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review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connecting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case-by-case deliberation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25)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data-oriented thinking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76) of this Charter, ensuring that experience is converted into reusable strategic capability#.</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summarization of life experience follows the rule that every experience must be reviewed, thought over and summarized down to the first-principles essence (the essence of human nature, human desires, interests &amp; the exchange of wishes), and thereafter one thinks from the first-principles essence in a movement from the intangible to the tangible and from the macro to the micro.</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#Connecting with</w:t>
            </w:r>
            <w:r>
              <w:rPr>
                <w:rFonts w:ascii="DejaVu Serif" w:hAnsi="DejaVu Serif" w:eastAsia="Noto Sans CJK SC"/>
                <w:i/>
                <w:iCs/>
                <w:color w:val="000000"/>
                <w:sz w:val="19"/>
              </w:rPr>
              <w:t xml:space="preserve"> </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case-by-case deliberation</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 </w:t>
            </w:r>
            <w:r>
              <w:rPr>
                <w:rFonts w:ascii="DejaVu Serif" w:hAnsi="DejaVu Serif" w:eastAsia="Noto Sans CJK SC"/>
                <w:i/>
                <w:iCs/>
                <w:color w:val="000000"/>
                <w:sz w:val="19"/>
              </w:rPr>
              <w:t xml:space="preserve">and</w:t>
            </w:r>
            <w:r>
              <w:rPr>
                <w:rFonts w:ascii="DejaVu Serif" w:hAnsi="DejaVu Serif" w:eastAsia="Noto Sans CJK SC"/>
                <w:i/>
                <w:iCs/>
                <w:color w:val="000000"/>
                <w:sz w:val="19"/>
              </w:rPr>
              <w:t xml:space="preserve"> </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data-oriented thinking</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review-ization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every matter must be reviewed and traced to the first-principles essence, and then reasoned out from the essence.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25 【Case-by-Case Deliberation】, Article 45 【Attribution to the Person】 and Article 108 【Iteration】, being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converting experience into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25, Article 45, Article 108.</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000000"/>
                <w:sz w:val="19"/>
              </w:rPr>
              <w:t xml:space="preserve">(Continued with Articles 120 to 145)</w:t>
            </w:r>
          </w:p>
        </w:tc>
      </w:tr>
      <w:tr>
        <w:tc>
          <w:tcPr/>
          <w:p>
            <w:pPr>
              <w:pStyle w:val="Compact"/>
              <w:spacing w:after="40" w:line="288" w:lineRule="auto"/>
            </w:pPr>
          </w:p>
        </w:tc>
      </w:tr>
      <w:tr>
        <w:tc>
          <w:tcPr/>
          <w:p>
            <w:pPr>
              <w:pStyle w:val="Heading2"/>
              <w:spacing w:after="40" w:line="288" w:lineRule="auto"/>
              <w:jc w:val="left"/>
            </w:pPr>
            <w:bookmarkStart w:id="174" w:name="X821e770ff74b4df6694cde4355eb95146a15e9b"/>
            <w:r>
              <w:rPr>
                <w:rFonts w:ascii="DejaVu Serif" w:hAnsi="DejaVu Serif" w:eastAsia="Noto Sans CJK SC"/>
                <w:color w:val="000000"/>
                <w:sz w:val="19"/>
              </w:rPr>
              <w:t xml:space="preserve">Volume Twelve — The Chapter on Supplementary Provisions and Civilizational Belief</w:t>
            </w:r>
            <w:bookmarkEnd w:id="174"/>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5"/>
    <w:bookmarkStart w:id="176" w:name="X8866037ba6bb479418cc372e4e116aac7556452"/>
    <w:p>
      <w:pPr>
        <w:pStyle w:val="Heading3"/>
        <w:spacing w:after="120" w:line="312" w:lineRule="auto"/>
        <w:jc w:val="left"/>
      </w:pPr>
      <w:r>
        <w:rPr>
          <w:rFonts w:ascii="DejaVu Serif" w:hAnsi="DejaVu Serif" w:eastAsia="Noto Serif CJK SC"/>
          <w:color w:val="000000"/>
          <w:sz w:val="26"/>
        </w:rPr>
        <w:t xml:space="preserve">Article 120 【Summary of Currency-Earning Models】</w:t>
      </w:r>
    </w:p>
    <w:p>
      <w:pPr>
        <w:pStyle w:val="FirstParagraph"/>
        <w:spacing w:after="120" w:line="312" w:lineRule="auto"/>
      </w:pPr>
      <w:r>
        <w:rPr>
          <w:rFonts w:ascii="DejaVu Serif" w:hAnsi="DejaVu Serif" w:eastAsia="Noto Serif CJK SC"/>
          <w:color w:val="000000"/>
          <w:sz w:val="22"/>
        </w:rPr>
        <w:t xml:space="preserve">The common currency-earning models are summarized as follows: (1) the governmental model — positioning-ism — dividing the cake (the distribution of interests / profits), tasks + skimming and taxing under various names + collecting money (fines / penalties) for unlawful conduct; (2) the financial model (investment model / capital model) — market-making-ism — taking currency, marketable securities, etc. as the main instruments and obtaining returns by the mode of the leverage of borrowing (the future monetary return) + the present interest; (3) the typical company-and-enterprise models: paragraph 1.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quasi-governmental-rule-ism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positioning-and-market-making model project: item 1 conducting skimming and profit-sharing with other platform participants through actions such as building a platform, setting platform rules and altruistically giving platform participants a part of the profits first (following the principle of governmental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taxation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item 2 conducting non-compliance-penalty revenue with other platform participants through actions such as building a platform and setting platform rules (following the principle of governmental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taxation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paragraph 2. the cash-flow-operation model project: item 1 the partner model project (e.g., the all-staff shareholding plan for high-quality personnel, the strategic-cooperation and personnel-cooperation plan of a legal-person entity, etc.); item 2 the membership and club model project (e.g., private board meetings, closed-door seminar clubs, etc.); item 3 the franchise model project; item 4 the model project of agency (fees), of handling commission / service fees collected in advance in a centralized manner; item 5 the model project of intermediary and information-asymmetry bridging commission; paragraph 3. the training-type and 【information】 consulting-type fee-collection model project (a model of zero marginal cost after pure-profit documentary standardization); paragraph 4. the relatively larger-scale (one-to-many service) capital-gain (price-difference) model project (the most ordinary, popular and most widely used model); (4) the mass operational model project — the mode of thought and action of the self-employed: paragraph 1. the smaller-scale (one-to-one service) capital-gain (price-difference) model (the most ordinary, popular and most widely used model); (5) the mode of thought and action of purely selling time, physical strength and energy: paragraph 1. the working-for-others model (company member, civil and commercial partner, civil and commercial cooperator, engaged personnel, civil and commercial partner, civil and commercial cooperator, engaged-personnel model / engaged-personnel model); #This provision systematically sorts out the currency-earning models, connecting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core-asset creation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20)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direction of life advancement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 of this Charter, and providing a reference for profitability choices at different stages#.</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common currency-earning models are summarized as follows: (1) the governmental model — positioning-ism — dividing the cake (the distribution of interests / profits), tasks + skimming and taxing under various names + collecting money (fines / penalties) for unlawful conduct; (2) the financial model (investment model / capital model) — market-making-ism — taking currency, marketable securities, etc. as the main instruments and obtaining returns by the mode of the leverage of borrowing (the future monetary return) + the present interest; (3) the typical company-and-enterprise models: paragraph 1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quasi-governmental-rule-ism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positioning-and-market-making model project (building a platform, setting rules, profit-sharing by skimming, non-compliance revenue); paragraph 2 the cash-flow-operation model project … (the full text is subject to the authoritative text).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systematically summarizes the various models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currency earning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governmental model (dividing the cake, taxation, fines), the financial model (market-making, leverage, interest) and the company-and-enterprise model (platform rules). Its legislative purpose lies in enabling the Author to understand the mechanisms of wealth generation,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knowing its Way and understanding its technique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overall map of cognition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business and investment, akin to Article 68 【The Essence of Currency】, Article 69 【The Essence of Finance】 and Article 80 【The Essence of the Game of Life】. Wherever expressions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skimming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involved, they are objective descriptions of existing models, not the path the Author takes (the Author’s life takes altruism and win-win as its occupation).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68, Article 69, Article 80, Article 71.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6"/>
    <w:bookmarkStart w:id="177" w:name="X648cccbbb16870fe3dd7d07e4994269a3d43aef"/>
    <w:p>
      <w:pPr>
        <w:pStyle w:val="Heading3"/>
        <w:spacing w:after="120" w:line="312" w:lineRule="auto"/>
        <w:jc w:val="left"/>
      </w:pPr>
      <w:r>
        <w:rPr>
          <w:rFonts w:ascii="DejaVu Serif" w:hAnsi="DejaVu Serif" w:eastAsia="Noto Serif CJK SC"/>
          <w:color w:val="000000"/>
          <w:sz w:val="26"/>
        </w:rPr>
        <w:t xml:space="preserve">Article 121 【Scope of Application of This Charter】</w:t>
      </w:r>
    </w:p>
    <w:p>
      <w:pPr>
        <w:pStyle w:val="FirstParagraph"/>
        <w:spacing w:after="120" w:line="312" w:lineRule="auto"/>
      </w:pPr>
      <w:r>
        <w:rPr>
          <w:rFonts w:ascii="DejaVu Serif" w:hAnsi="DejaVu Serif" w:eastAsia="Noto Serif CJK SC"/>
          <w:color w:val="000000"/>
          <w:sz w:val="22"/>
        </w:rPr>
        <w:t xml:space="preserve">This Charter of Life Action applies to any planning, organizing, coordinating, calling and all other thinking and behavioral activities of the life of the author of this Charter ****.</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1"/>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Charter of Life Action applies to any planning, organizing, coordinating, calling and all other thinking and behavioral activities of the life of the author of this Charter ****.</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determines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scope of application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Charter — all the thinking and behavioral activities of the Author (planning, organizing, coordinating, calling, etc.) are subject to this Charter.</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1 【Purposes】 and Article 124 【Matters Not Exhaustively Provided For】, expressly showing the Charter’s applicable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full coverage, no blind spots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Article 124, Article 127.</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7"/>
    <w:bookmarkStart w:id="178" w:name="Xe2d3ff6600235e9472e802e8306f6a792e447df"/>
    <w:p>
      <w:pPr>
        <w:pStyle w:val="Heading3"/>
        <w:spacing w:after="120" w:line="312" w:lineRule="auto"/>
        <w:jc w:val="left"/>
      </w:pPr>
      <w:r>
        <w:rPr>
          <w:rFonts w:ascii="DejaVu Serif" w:hAnsi="DejaVu Serif" w:eastAsia="Noto Serif CJK SC"/>
          <w:color w:val="000000"/>
          <w:sz w:val="26"/>
        </w:rPr>
        <w:t xml:space="preserve">Article 122 【Attribution of the Power to Conclude, Amend, Partially Repeal and Fully Repeal the Charter】</w:t>
      </w:r>
    </w:p>
    <w:p>
      <w:pPr>
        <w:pStyle w:val="FirstParagraph"/>
        <w:spacing w:after="120" w:line="312" w:lineRule="auto"/>
      </w:pPr>
      <w:r>
        <w:rPr>
          <w:rFonts w:ascii="DejaVu Serif" w:hAnsi="DejaVu Serif" w:eastAsia="Noto Serif CJK SC"/>
          <w:color w:val="000000"/>
          <w:sz w:val="22"/>
        </w:rPr>
        <w:t xml:space="preserve">The power to conclude, amend, partially repeal and fully repeal this Charter of Life Action belongs to the author of this Charter ****.</w:t>
      </w:r>
    </w:p>
    <w:tbl>
      <w:tblPr>
        <w:tblStyle w:val="Table"/>
        <w:tblW w:type="pct" w:w="502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4"/>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power to conclude, amend, partially repeal and fully repeal this Charter of Life Action belongs to the author of this Charter ****.</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expressly provides that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power to conclude, amend and repeal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Charter is exclusive to the Author, being the institutional guarantee of this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sovereignty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123 【The Power of Interpretation】 and Article 1-2 【The Charter-Making Subject】, showing the Charter’s fundamental attribute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self-legislation, self-amendment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123, Article 1, Article 116 【Bequests】.</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8"/>
    <w:bookmarkStart w:id="179" w:name="X96f2c8aa593957b5ce7a9287d2141ce74bc531d"/>
    <w:p>
      <w:pPr>
        <w:pStyle w:val="Heading3"/>
        <w:spacing w:after="120" w:line="312" w:lineRule="auto"/>
        <w:jc w:val="left"/>
      </w:pPr>
      <w:r>
        <w:rPr>
          <w:rFonts w:ascii="DejaVu Serif" w:hAnsi="DejaVu Serif" w:eastAsia="Noto Serif CJK SC"/>
          <w:color w:val="000000"/>
          <w:sz w:val="26"/>
        </w:rPr>
        <w:t xml:space="preserve">Article 123 【Attribution of the Final Power of Interpretation of the Charter】</w:t>
      </w:r>
    </w:p>
    <w:p>
      <w:pPr>
        <w:pStyle w:val="FirstParagraph"/>
        <w:spacing w:after="120" w:line="312" w:lineRule="auto"/>
      </w:pPr>
      <w:r>
        <w:rPr>
          <w:rFonts w:ascii="DejaVu Serif" w:hAnsi="DejaVu Serif" w:eastAsia="Noto Serif CJK SC"/>
          <w:color w:val="000000"/>
          <w:sz w:val="22"/>
        </w:rPr>
        <w:t xml:space="preserve">The final power of interpretation of this Charter of Life Action belongs to the author of this Charter ****.</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7"/>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final power of interpretation of this Charter of Life Action belongs to the author of this Charter ****.</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expressly provides that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final power of interpretation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exclusive to the Author. This Commentary is compiled under the authorization of this power and is auxiliary interpretation, not overstepping the final power of interpretation.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122. Wherever the interpretation of this Commentary differs from the Author’s interpretation, the Author’s interpretation prevails (see Article 1 of the General Rules).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122, Article 124, Annex H.01.001 【Interpretation Letter】.</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9"/>
    <w:bookmarkStart w:id="180" w:name="X2193f8f07c5c606fedad28c571b1464af196c69"/>
    <w:p>
      <w:pPr>
        <w:pStyle w:val="Heading3"/>
        <w:spacing w:after="120" w:line="312" w:lineRule="auto"/>
        <w:jc w:val="left"/>
      </w:pPr>
      <w:r>
        <w:rPr>
          <w:rFonts w:ascii="DejaVu Serif" w:hAnsi="DejaVu Serif" w:eastAsia="Noto Serif CJK SC"/>
          <w:color w:val="000000"/>
          <w:sz w:val="26"/>
        </w:rPr>
        <w:t xml:space="preserve">Article 124 【Matters Not Exhaustively Provided For】</w:t>
      </w:r>
    </w:p>
    <w:p>
      <w:pPr>
        <w:pStyle w:val="FirstParagraph"/>
        <w:spacing w:after="120" w:line="312" w:lineRule="auto"/>
      </w:pPr>
      <w:r>
        <w:rPr>
          <w:rFonts w:ascii="DejaVu Serif" w:hAnsi="DejaVu Serif" w:eastAsia="Noto Serif CJK SC"/>
          <w:color w:val="000000"/>
          <w:sz w:val="22"/>
        </w:rPr>
        <w:t xml:space="preserve">As to matters not exhaustively provided for in this Charter, the Author should, in accordance with the principles of the Charter, decide on his own, then make a concrete analysis and thereafter take action.</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2"/>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to matters not exhaustively provided for in this Charter, the Author should, in accordance with the principles of the Charter, decide on his own, then make a concrete analysis and thereafter take action.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handling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matters not exhaustively provided for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in accordance with the principles of the Charter, deciding autonomously, making a concrete analysis and then acting.</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25 【Case-by-Case Deliberation】 and Article 126 【The Latest Application】, showing the elasticity of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principles as the key, open application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25, Article 126, Article 121.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0"/>
    <w:bookmarkStart w:id="181" w:name="X027d6efb1df8adbfeda5ed2b05f51e6b2299b5e"/>
    <w:p>
      <w:pPr>
        <w:pStyle w:val="Heading3"/>
        <w:spacing w:after="120" w:line="312" w:lineRule="auto"/>
        <w:jc w:val="left"/>
      </w:pPr>
      <w:r>
        <w:rPr>
          <w:rFonts w:ascii="DejaVu Serif" w:hAnsi="DejaVu Serif" w:eastAsia="Noto Serif CJK SC"/>
          <w:color w:val="000000"/>
          <w:sz w:val="26"/>
        </w:rPr>
        <w:t xml:space="preserve">Article 125 【Response to Amendment of Laws and Regulations】</w:t>
      </w:r>
    </w:p>
    <w:p>
      <w:pPr>
        <w:pStyle w:val="FirstParagraph"/>
        <w:spacing w:after="120" w:line="312" w:lineRule="auto"/>
      </w:pPr>
      <w:r>
        <w:rPr>
          <w:rFonts w:ascii="DejaVu Serif" w:hAnsi="DejaVu Serif" w:eastAsia="Noto Serif CJK SC"/>
          <w:color w:val="000000"/>
          <w:sz w:val="22"/>
        </w:rPr>
        <w:t xml:space="preserve">If the laws and regulations of the place where one is are amended and their mandatory provisions come into irreconcilable substantive conflict with this Charter, then the provisions of this Charter that are in substantive conflict with the laws and regulations shall be amended in accordance with the express mandatory provisions of the laws and regulations and then implemented.</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9"/>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the laws and regulations of the place where one is are amended and their mandatory provisions come into irreconcilable substantive conflict with this Charter, then the provisions of this Charter that are in substantive conflict with the laws and regulations shall be amended in accordance with the express mandatory provisions of the laws and regulations and then implemented.</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priority of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wherever the Charter irreconcilably conflicts with the mandatory provisions of the laws and regulations of the place where one is, the Charter’s provisions are amended to accord with the law.</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 highest guarantee of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akin to Article 7 【Not Violating Mandatory Legal Provisions】, Article 98 and Article 127. Whenever the law is amended, the Charter is adjusted accordingly, so that the Author’s conduct always accords with law.</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98, Article 126, Annex G.01.001.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1"/>
    <w:bookmarkStart w:id="182" w:name="X4aafa0f221bfd24543a85d019fa49fe2adbd311"/>
    <w:p>
      <w:pPr>
        <w:pStyle w:val="Heading3"/>
        <w:spacing w:after="120" w:line="312" w:lineRule="auto"/>
        <w:jc w:val="left"/>
      </w:pPr>
      <w:r>
        <w:rPr>
          <w:rFonts w:ascii="DejaVu Serif" w:hAnsi="DejaVu Serif" w:eastAsia="Noto Serif CJK SC"/>
          <w:color w:val="000000"/>
          <w:sz w:val="26"/>
        </w:rPr>
        <w:t xml:space="preserve">Article 126 【The Principle of Applying the Latest Charter】</w:t>
      </w:r>
    </w:p>
    <w:p>
      <w:pPr>
        <w:pStyle w:val="FirstParagraph"/>
        <w:spacing w:after="120" w:line="312" w:lineRule="auto"/>
      </w:pPr>
      <w:r>
        <w:rPr>
          <w:rFonts w:ascii="DejaVu Serif" w:hAnsi="DejaVu Serif" w:eastAsia="Noto Serif CJK SC"/>
          <w:color w:val="000000"/>
          <w:sz w:val="22"/>
        </w:rPr>
        <w:t xml:space="preserve">Where a previous Charter is inconsistent with this Charter (the latest version of the Charter), this latest version of the Charter prevails.</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7"/>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Where a previous Charter is inconsistent with this Charter (the latest version of the Charter), this latest version of the Charter prevails.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conflict rule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new rules prevail over old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wherever an old version is inconsistent with the latest version, the latest version prevails.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accords with the general provisions of the system,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new rules prevail over old, special prevails over general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is the basis on which this Commentary handles the evolution of successive amendments (see Article 6 of the General Rules).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125, Article 124, Article 6 of the General Rules.</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2"/>
    <w:bookmarkStart w:id="183" w:name="X8e1b50c2c87c73e442d4ea0d5017c30ef71e30b"/>
    <w:p>
      <w:pPr>
        <w:pStyle w:val="Heading3"/>
        <w:spacing w:after="120" w:line="312" w:lineRule="auto"/>
        <w:jc w:val="left"/>
      </w:pPr>
      <w:r>
        <w:rPr>
          <w:rFonts w:ascii="DejaVu Serif" w:hAnsi="DejaVu Serif" w:eastAsia="Noto Serif CJK SC"/>
          <w:color w:val="000000"/>
          <w:sz w:val="26"/>
        </w:rPr>
        <w:t xml:space="preserve">Article 127 【Effective Date of the Charter】</w:t>
      </w:r>
    </w:p>
    <w:p>
      <w:pPr>
        <w:pStyle w:val="FirstParagraph"/>
        <w:spacing w:after="120" w:line="312" w:lineRule="auto"/>
      </w:pPr>
      <w:r>
        <w:rPr>
          <w:rFonts w:ascii="DejaVu Serif" w:hAnsi="DejaVu Serif" w:eastAsia="Noto Serif CJK SC"/>
          <w:color w:val="000000"/>
          <w:sz w:val="22"/>
        </w:rPr>
        <w:t xml:space="preserve">This Charter of Life Action takes effect from **** (originally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13 August 2022</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To the Author, a self-interested logic of conduct is altruism toward others; for others are also persons (what the legal provisions omit by default is also the three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any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(or a threefold meaning): (1) taking the single individual 【and their real needs】 as the foundation vs. taking (all) humanity 【and its consensual needs】 as the foundation;</w:t>
      </w:r>
    </w:p>
    <w:p>
      <w:pPr>
        <w:pStyle w:val="Compact"/>
        <w:numPr>
          <w:ilvl w:val="0"/>
          <w:numId w:val="1023"/>
        </w:numPr>
        <w:spacing w:after="120" w:line="312" w:lineRule="auto"/>
      </w:pPr>
      <w:r>
        <w:rPr>
          <w:rFonts w:ascii="DejaVu Serif" w:hAnsi="DejaVu Serif" w:eastAsia="Noto Serif CJK SC"/>
          <w:color w:val="000000"/>
          <w:sz w:val="22"/>
        </w:rPr>
        <w:t xml:space="preserve">taking the idealized person of theory as the foundation vs. taking the fleshy, human-natured person as the foundation; (3) taking the person’s concrete manifested needs as the foundation vs. taking the abstract common needs summarized in theory as the foundation.</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8"/>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Charter of Life Action takes effect from 13 August 2022.</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expressly provides the effective date of the Charter — 13 August 2022. This is the foundational beginning of the law of the Author’s life.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After the Charter took effect, it was repeatedly amended (see Part Two for details), yet the initial date of its implementation is unchanged. The effective dates of the various amendments are counted separately (e.g., the Supplementary Amendment on the Boundaries of Helping Others from 20 October 2025, and the Binary Iron Rule of Organizational Participation from 22 August 2026).</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Part Two 【The Amendment System】.</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3"/>
    <w:bookmarkStart w:id="184" w:name="X6d8bbdb98e06d63dd2abb7e8afba6bad2e6c17c"/>
    <w:p>
      <w:pPr>
        <w:pStyle w:val="Heading3"/>
        <w:spacing w:after="120" w:line="312" w:lineRule="auto"/>
        <w:jc w:val="left"/>
      </w:pPr>
      <w:r>
        <w:rPr>
          <w:rFonts w:ascii="DejaVu Serif" w:hAnsi="DejaVu Serif" w:eastAsia="Noto Serif CJK SC"/>
          <w:color w:val="000000"/>
          <w:sz w:val="26"/>
        </w:rPr>
        <w:t xml:space="preserve">Article 128 【The Core Definition of Civilizational Success】</w:t>
      </w:r>
    </w:p>
    <w:p>
      <w:pPr>
        <w:pStyle w:val="FirstParagraph"/>
        <w:spacing w:after="120" w:line="312" w:lineRule="auto"/>
      </w:pPr>
      <w:r>
        <w:rPr>
          <w:rFonts w:ascii="DejaVu Serif" w:hAnsi="DejaVu Serif" w:eastAsia="Noto Serif CJK SC"/>
          <w:color w:val="000000"/>
          <w:sz w:val="22"/>
        </w:rPr>
        <w:t xml:space="preserve">The core definition of civilizational success is the elimination of the shadow of human nature (such as the extremely egoistic personality), specifically including: (1) the majority can stably enjoy an abundant life based on trust, cooperation and love; (2) extreme personalities and their survival philosophy are marginalized and rendered harmless, unable to form an impact on the mainstream values of civilization; #This provision was added under Corrective Act (3), expanding the value dimension of the Charter, extending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individual life planning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identification of civilizational values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conforming to the supreme program of this Charter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promote the building of a community with a shared future for mankind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core definition of civilizational success is the elimination of the shadow of human nature (such as the extremely egoistic personality), specifically including: (1) the majority can stably enjoy an abundant life based on trust, cooperation and love; (2) extreme personalities and their survival philosophy are marginalized and rendered harmless, unable to form an impact on the mainstream values of civilization.</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Corrective Act (3).)</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was added by Corrective Act (3), establishing the core definition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civilizational success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eliminating the shadow of human nature, enabling the majority to enjoy an abundant life, and marginalizing extreme personalities. This marks the Charter’s extension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individual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civilizational values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echoing Article 1-2 【The Supreme Program】.</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 general outline of the provisions 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 and belief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Articles 129 to 145.</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 can coexist with the shadow and always lead toward the light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spiritual core of this article (see Article 132).</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Articles 129 to 145, Annex A.05.001.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4"/>
    <w:bookmarkStart w:id="185" w:name="X55470985ea113a8f39e93609c6178f4a98a906e"/>
    <w:p>
      <w:pPr>
        <w:pStyle w:val="Heading3"/>
        <w:spacing w:after="120" w:line="312" w:lineRule="auto"/>
        <w:jc w:val="left"/>
      </w:pPr>
      <w:r>
        <w:rPr>
          <w:rFonts w:ascii="DejaVu Serif" w:hAnsi="DejaVu Serif" w:eastAsia="Noto Serif CJK SC"/>
          <w:color w:val="000000"/>
          <w:sz w:val="26"/>
        </w:rPr>
        <w:t xml:space="preserve">Article 129 【The Guiding Duty of the Education System】</w:t>
      </w:r>
    </w:p>
    <w:p>
      <w:pPr>
        <w:pStyle w:val="FirstParagraph"/>
        <w:spacing w:after="120" w:line="312" w:lineRule="auto"/>
      </w:pPr>
      <w:r>
        <w:rPr>
          <w:rFonts w:ascii="DejaVu Serif" w:hAnsi="DejaVu Serif" w:eastAsia="Noto Serif CJK SC"/>
          <w:color w:val="000000"/>
          <w:sz w:val="22"/>
        </w:rPr>
        <w:t xml:space="preserve">Within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the guiding duty of the education system is clarified: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cognition of the spectrum of human nature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value of the infinite game (sustainable cooperation and inheritance)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must be incorporated into compulsory content, and individuals must be helped, through the following means, to recognize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harm of extreme personalities (such as the loss of deep trust and inner peace)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to avoid, from the cognitive source, identification with the extreme survival philosophy: (1) offering cross-cultural courses on the study of human nature, analyzing the traits of human nature and the modes of cooperation under different civilizations; (2) organizing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infinite game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practical activities, simulating long-term cooperation scenarios (such as cross-national project collaboration); (3) inviting cross-disciplinary experts (such as psychologists and sociologists) to explain the formation mechanisms and avoidance methods of extreme personalities; #This provision is extended under Corrective Act (3), connecting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definition of 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Article 128, consolidating the foundation of civilizational values through education and guidance, and conforming to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lifelong learning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17 of Article 2) of this Charter#.</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Within the framework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civilizational success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chapter, the guiding duty of the education system is clarified: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cognition of the spectrum of human nature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value of the infinite game (sustainable cooperation and inheritance)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must be incorporated into compulsory content, and individuals must be helped, through the following means, to recognize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harm of extreme personalities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to avoid, from the cognitive source, identification with the extreme survival philosophy: (1) offering cross-cultural courses on the study of human nature; (2) organizing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infinite game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practical activities; (3) inviting cross-disciplinary experts to explain the formation mechanisms and avoidance methods of extreme personalities. (This provision is extended under Corrective Act (3).)</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guiding duty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education system — through courses and practice, cultivating the value of cooperation and inheritance and preventing identification with extreme personalities.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128 and Article 140 【Lifelong Belief Education】, showing the Author’s ideal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civilizing civilization through education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128, Article 130, Article 140.</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5"/>
    <w:bookmarkStart w:id="186" w:name="X7870f515691437e5e9101cbc2d6df3540730fc1"/>
    <w:p>
      <w:pPr>
        <w:pStyle w:val="Heading3"/>
        <w:spacing w:after="120" w:line="312" w:lineRule="auto"/>
        <w:jc w:val="left"/>
      </w:pPr>
      <w:r>
        <w:rPr>
          <w:rFonts w:ascii="DejaVu Serif" w:hAnsi="DejaVu Serif" w:eastAsia="Noto Serif CJK SC"/>
          <w:color w:val="000000"/>
          <w:sz w:val="26"/>
        </w:rPr>
        <w:t xml:space="preserve">Article 130 【The Right to Maintain Individual Belief】</w:t>
      </w:r>
    </w:p>
    <w:p>
      <w:pPr>
        <w:pStyle w:val="FirstParagraph"/>
        <w:spacing w:after="120" w:line="312" w:lineRule="auto"/>
      </w:pPr>
      <w:r>
        <w:rPr>
          <w:rFonts w:ascii="DejaVu Serif" w:hAnsi="DejaVu Serif" w:eastAsia="Noto Serif CJK SC"/>
          <w:color w:val="000000"/>
          <w:sz w:val="22"/>
        </w:rPr>
        <w:t xml:space="preserve">An individual has the right to autonomously choose and maintain a belief conforming to the mainstream values of civilization, specifically including: (1) refusing any involuntary inculcation of belief, including but not limited to religion and ideology; (2) within the limits permitted by law, deepening personal belief through reading, exchange, practice, etc.; (3) when personal belief suffers malicious attack or interference by others, having the right to safeguard it through lawful channels (such as legal proceedings and clarification of public opinion);</w:t>
      </w:r>
    </w:p>
    <w:p>
      <w:pPr>
        <w:pStyle w:val="BodyText"/>
        <w:spacing w:after="120" w:line="312" w:lineRule="auto"/>
      </w:pPr>
      <w:r>
        <w:rPr>
          <w:rFonts w:ascii="DejaVu Serif" w:hAnsi="DejaVu Serif" w:eastAsia="Noto Serif CJK SC"/>
          <w:color w:val="000000"/>
          <w:sz w:val="22"/>
        </w:rPr>
        <w:t xml:space="preserve">#This provision was added under the chapter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Maintenance of Individual Belief and Social Support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Corrective Act (3), safeguarding the freedom of individual belief and connecting with the principles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right to independent and autonomous decision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5 of Article 3)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freedom of thought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16) of this Charter#.</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 individual has the right to autonomously choose and maintain a belief conforming to the mainstream values of civilization, specifically including: (1) refusing any involuntary inculcation of belief (including religion, ideology, etc.); (2) within the limits permitted by law, deepening personal belief through reading, exchange, practice, etc.; (3) when personal belief suffers malicious attack or interference by others, having the right to safeguard it through lawful channels (such as legal proceedings and clarification of public opinion).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right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freedom of belief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refusing inculcation, able to deepen, able to safeguard. This is the self-determination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sovereign individual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domain of belief, in the same lineage as Article 33 【Maximum Self-Determination】.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emphasizes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conforming to the mainstream values of civilization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within the limits permitted by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showing the boundary of freedom of belief.</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 Article 129, Article 131.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6"/>
    <w:bookmarkStart w:id="187" w:name="X85cf592b8ec8ecd9fdbf955264e3a68890f593b"/>
    <w:p>
      <w:pPr>
        <w:pStyle w:val="Heading3"/>
        <w:spacing w:after="120" w:line="312" w:lineRule="auto"/>
        <w:jc w:val="left"/>
      </w:pPr>
      <w:r>
        <w:rPr>
          <w:rFonts w:ascii="DejaVu Serif" w:hAnsi="DejaVu Serif" w:eastAsia="Noto Serif CJK SC"/>
          <w:color w:val="000000"/>
          <w:sz w:val="26"/>
        </w:rPr>
        <w:t xml:space="preserve">Article 131 【The Social Support Mechanism for Individual Belief】</w:t>
      </w:r>
    </w:p>
    <w:p>
      <w:pPr>
        <w:pStyle w:val="FirstParagraph"/>
        <w:spacing w:after="120" w:line="312" w:lineRule="auto"/>
      </w:pPr>
      <w:r>
        <w:rPr>
          <w:rFonts w:ascii="DejaVu Serif" w:hAnsi="DejaVu Serif" w:eastAsia="Noto Serif CJK SC"/>
          <w:color w:val="000000"/>
          <w:sz w:val="22"/>
        </w:rPr>
        <w:t xml:space="preserve">Society should establish a support mechanism for individual belief, specifically including: (1) setting up non-profit belief-exchange platforms, providing a space of equal dialogue for different belief groups; (2) introducing policies to encourage belief-practice activities conforming to the mainstream values of civilization (such as public charity and cross-cultural exchange); (3) providing legal aid and social relief to individuals who suffer discrimination or unfair treatment because of belief.</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Society should establish a support mechanism for individual belief, specifically including: (1) setting up non-profit belief-exchange platforms, providing a space of equal dialogue for different belief groups; (2) introducing policies to encourage belief-practice activities conforming to the mainstream values of civilization (such as public charity and cross-cultural exchange); (3) providing legal aid and social relief to individuals who suffer discrimination or unfair treatment because of belief.</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social support mechanism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platforms, policies and aid, three channels protecting individual belief.</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Paired with Article 130, one being the individual right, the other social support, together they protect freedom of belief.</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130, Article 132, Article 137.</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7"/>
    <w:bookmarkStart w:id="188" w:name="X641a527d0a6269583a2ec29903c517e23f18620"/>
    <w:p>
      <w:pPr>
        <w:pStyle w:val="Heading3"/>
        <w:spacing w:after="120" w:line="312" w:lineRule="auto"/>
        <w:jc w:val="left"/>
      </w:pPr>
      <w:r>
        <w:rPr>
          <w:rFonts w:ascii="DejaVu Serif" w:hAnsi="DejaVu Serif" w:eastAsia="Noto Serif CJK SC"/>
          <w:color w:val="000000"/>
          <w:sz w:val="26"/>
        </w:rPr>
        <w:t xml:space="preserve">Article 132 【The Logic of Eradicating Belief Crises】</w:t>
      </w:r>
    </w:p>
    <w:p>
      <w:pPr>
        <w:pStyle w:val="FirstParagraph"/>
        <w:spacing w:after="120" w:line="312" w:lineRule="auto"/>
      </w:pPr>
      <w:r>
        <w:rPr>
          <w:rFonts w:ascii="DejaVu Serif" w:hAnsi="DejaVu Serif" w:eastAsia="Noto Serif CJK SC"/>
          <w:color w:val="000000"/>
          <w:sz w:val="22"/>
        </w:rPr>
        <w:t xml:space="preserve">The logic of eradicating belief crises dispels the risk of wavering belief through three dimensions, ultimately ensuring the Charter’s core belief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 can coexist with the shadow and always lead toward the light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specifically including: (1) clarifying value standards and compressing the space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legitimacy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extreme philosophy: through legislation and the guidance of public opinion, defining the unlawfulness and harm of extreme belief; (2) perfecting systemic constraints and compressing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survival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of extreme conduct: establishing a cross-departmental monitoring mechanism to intervene promptly in unlawful activities induced by extreme belief; (3) empowering individual choice and expanding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support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of positive belief: providing resource support for positive belief practice (such as funds, venues and publicity channels); #This provision was added under Corrective Act (3), constructing a solution to belief crises, connecting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definition of 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Article 128, and safeguarding the stability of the Charter’s core values#.</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logic of eradicating belief crises dispels the risk of wavering belief through three dimensions, ultimately ensuring the Charter’s core belief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 can coexist with the shadow and always lead toward the light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specifically including: (1) clarifying value standards and compressing the space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legitimacy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extreme philosophy; (2) perfecting systemic constraints and compressing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survival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space of extreme conduct; (3) empowering individual choice and expanding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support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space of positive belief.</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three dimensions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eradicating belief crises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compressing the legitimacy of the extreme, compressing the survival space of the extreme, and expanding the support space of the positive.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 can coexist with the shadow and always lead toward the light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spirit of this article, showing the Author’s optimism and sobriety toward civilization. It is akin to Article 128.</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128, Article 133, Article 135.</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8"/>
    <w:bookmarkStart w:id="189" w:name="X61ce91d10448c1a83ba76fef73b9a7284ecdafe"/>
    <w:p>
      <w:pPr>
        <w:pStyle w:val="Heading3"/>
        <w:spacing w:after="120" w:line="312" w:lineRule="auto"/>
        <w:jc w:val="left"/>
      </w:pPr>
      <w:r>
        <w:rPr>
          <w:rFonts w:ascii="DejaVu Serif" w:hAnsi="DejaVu Serif" w:eastAsia="Noto Serif CJK SC"/>
          <w:color w:val="000000"/>
          <w:sz w:val="26"/>
        </w:rPr>
        <w:t xml:space="preserve">Article 133 【The Applicable Effect of the Logic of Eradicating Belief Crises】</w:t>
      </w:r>
    </w:p>
    <w:p>
      <w:pPr>
        <w:pStyle w:val="FirstParagraph"/>
        <w:spacing w:after="120" w:line="312" w:lineRule="auto"/>
      </w:pPr>
      <w:r>
        <w:rPr>
          <w:rFonts w:ascii="DejaVu Serif" w:hAnsi="DejaVu Serif" w:eastAsia="Noto Serif CJK SC"/>
          <w:color w:val="000000"/>
          <w:sz w:val="22"/>
        </w:rPr>
        <w:t xml:space="preserve">The applicable effect of this provision (Article 132) covers the following scenarios: (1) the individual level: when an individual faces wavering belief, he may, in accordance with this provision, seek social support (such as belief counseling and psychological guidance); (2) the group level: when a specific group shows a tendency toward extremization of belief, the relevant departments should activate the systemic constraint mechanism; (3) the transnational level: in international exchange, the logic of this provision may be drawn upon to promote the tolerance of belief and cooperation among different civilizations.</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applicable effect of this provision (Article 132) covers the following scenarios: (1) the individual level: when an individual faces wavering belief, he may, in accordance with this provision, seek social support (such as belief counseling and psychological guidance); (2) the group level: when a specific group shows a tendency toward extremization of belief, the relevant departments should activate the systemic constraint mechanism; (3) the transnational level: in international exchange, the logic of this provision may be drawn upon to promote the tolerance of belief and cooperation among different civilizations.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clarifies the applicable effect of Article 132, covering the three levels of the individual, the group and the transnational.</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134 【Transnational Belief Cooperation】 and Article 7 【The Cosmic Citizen】.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134.</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9"/>
    <w:bookmarkStart w:id="190" w:name="X5b5b68416fab9c59a9934a1a4964a7958131367"/>
    <w:p>
      <w:pPr>
        <w:pStyle w:val="Heading3"/>
        <w:spacing w:after="120" w:line="312" w:lineRule="auto"/>
        <w:jc w:val="left"/>
      </w:pPr>
      <w:r>
        <w:rPr>
          <w:rFonts w:ascii="DejaVu Serif" w:hAnsi="DejaVu Serif" w:eastAsia="Noto Serif CJK SC"/>
          <w:color w:val="000000"/>
          <w:sz w:val="26"/>
        </w:rPr>
        <w:t xml:space="preserve">Article 134 【The Principle of Transnational Belief Cooperation】</w:t>
      </w:r>
    </w:p>
    <w:p>
      <w:pPr>
        <w:pStyle w:val="FirstParagraph"/>
        <w:spacing w:after="120" w:line="312" w:lineRule="auto"/>
      </w:pPr>
      <w:r>
        <w:rPr>
          <w:rFonts w:ascii="DejaVu Serif" w:hAnsi="DejaVu Serif" w:eastAsia="Noto Serif CJK SC"/>
          <w:color w:val="000000"/>
          <w:sz w:val="22"/>
        </w:rPr>
        <w:t xml:space="preserve">Transnational belief cooperation should follow the following principles, conforming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ideal of the cosmic citizen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7):</w:t>
      </w:r>
    </w:p>
    <w:p>
      <w:pPr>
        <w:pStyle w:val="Compact"/>
        <w:numPr>
          <w:ilvl w:val="0"/>
          <w:numId w:val="1024"/>
        </w:numPr>
        <w:spacing w:after="120" w:line="312" w:lineRule="auto"/>
      </w:pPr>
      <w:r>
        <w:rPr>
          <w:rFonts w:ascii="DejaVu Serif" w:hAnsi="DejaVu Serif" w:eastAsia="Noto Serif CJK SC"/>
          <w:color w:val="000000"/>
          <w:sz w:val="22"/>
        </w:rPr>
        <w:t xml:space="preserve">equality and inclusiveness: respecting the belief differences of different countries and civilizations, and not imposing one’s own belief on others; (2) mutual benefit and win-win: taking belief cooperation as a bond to promote altruistic activities such as transnational public welfare and cultural exchange; (3) lawfulness and compliance: observing the legal provisions of the countries of both cooperating parties, and not engaging in any unlawful belief activity.</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Transnational belief cooperation should follow the following principles, conforming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of the cosmic citizen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(1) equality and inclusiveness: respecting the belief differences of different countries and civilizations, and not imposing one’s own belief on others; (2) mutual benefit and win-win: taking belief cooperation as a bond to promote altruistic activities such as transnational public welfare and cultural exchange; (3) lawfulness and compliance: observing the legal provisions of the countries of both cooperating parties, and not engaging in any unlawful belief activity.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three principles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transnational belief cooperation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equality and inclusiveness, mutual benefit and win-win, and lawfulness and compliance.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expressly cites Article 7 【The Ideal of the Cosmic Citizen】, showing the world dimension of the Author’s outlook on belief. It is akin to Article 143 【Transnational Belief-Education Cooperation】.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133, Article 143.</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0"/>
    <w:bookmarkStart w:id="191" w:name="X1c3e0a47e7c39a58555ccb2e794de686cadd950"/>
    <w:p>
      <w:pPr>
        <w:pStyle w:val="Heading3"/>
        <w:spacing w:after="120" w:line="312" w:lineRule="auto"/>
        <w:jc w:val="left"/>
      </w:pPr>
      <w:r>
        <w:rPr>
          <w:rFonts w:ascii="DejaVu Serif" w:hAnsi="DejaVu Serif" w:eastAsia="Noto Serif CJK SC"/>
          <w:color w:val="000000"/>
          <w:sz w:val="26"/>
        </w:rPr>
        <w:t xml:space="preserve">Article 135 【Identification Standards for Extreme Beliefs】</w:t>
      </w:r>
    </w:p>
    <w:p>
      <w:pPr>
        <w:pStyle w:val="FirstParagraph"/>
        <w:spacing w:after="120" w:line="312" w:lineRule="auto"/>
      </w:pPr>
      <w:r>
        <w:rPr>
          <w:rFonts w:ascii="DejaVu Serif" w:hAnsi="DejaVu Serif" w:eastAsia="Noto Serif CJK SC"/>
          <w:color w:val="000000"/>
          <w:sz w:val="22"/>
        </w:rPr>
        <w:t xml:space="preserve">In order to implement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systemic constraint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of Article 132), the identification standards for extreme beliefs are clarified: where any of the following circumstances is met, it may be identified as an extreme belief: (1) advocating the realization of belief goals through violence, discrimination and other means; (2) denying the mainstream values of civilization (such as trust, cooperation and equality), and propagating extreme egoism or hatred; (3) restricting individual freedom (such as freedom of thought and freedom of action), and forcing others to accept a belief.</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order to implement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systemic constraint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 2 of Article 132), the identification standards for extreme beliefs are clarified: where any of the following circumstances is met, it may be identified as an extreme belief: (1) advocating the realization of belief goals through violence, discrimination and other means; (2) denying the mainstream values of civilization (such as trust, cooperation and equality), and propagating extreme egoism or hatred; (3) restricting individual freedom (such as freedom of thought and freedom of action), and forcing others to accept a belief.</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three identification standards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extreme belief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violence and discrimination, denial of mainstream values, and forcing others.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These standards are akin to Article 13-2 (prohibited conduct) and Article 144 【The Binary Iron Rule of Organizational Participation】, showing the Author’s sober definition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extremity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136, Article 13-2.</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1"/>
    <w:bookmarkStart w:id="192" w:name="Xa71195417a2ed2257abe37e7815bbf6ff0ac432"/>
    <w:p>
      <w:pPr>
        <w:pStyle w:val="Heading3"/>
        <w:spacing w:after="120" w:line="312" w:lineRule="auto"/>
        <w:jc w:val="left"/>
      </w:pPr>
      <w:r>
        <w:rPr>
          <w:rFonts w:ascii="DejaVu Serif" w:hAnsi="DejaVu Serif" w:eastAsia="Noto Serif CJK SC"/>
          <w:color w:val="000000"/>
          <w:sz w:val="26"/>
        </w:rPr>
        <w:t xml:space="preserve">Article 136 【The Process of Intervening in Extreme Beliefs】</w:t>
      </w:r>
    </w:p>
    <w:p>
      <w:pPr>
        <w:pStyle w:val="FirstParagraph"/>
        <w:spacing w:after="120" w:line="312" w:lineRule="auto"/>
      </w:pPr>
      <w:r>
        <w:rPr>
          <w:rFonts w:ascii="DejaVu Serif" w:hAnsi="DejaVu Serif" w:eastAsia="Noto Serif CJK SC"/>
          <w:color w:val="000000"/>
          <w:sz w:val="22"/>
        </w:rPr>
        <w:t xml:space="preserve">Intervention in extreme beliefs should follow the following process, ensuring procedural justice: (1) discovery of leads: obtaining leads on extreme-belief activities through channels such as social reporting and departmental monitoring; (2) preliminary verification: verifying the authenticity of the leads by professional institutions (such as public-security organs and sociological research institutions); (3) tiered intervention: taking different measures according to the degree of extremity (such as consultation-education and legal sanction); (4) follow-up tracking: conducting long-term tracking of the intervention target to prevent relapse into extreme belief.</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Intervention in extreme beliefs should follow the following process, ensuring procedural justice: (1) discovery of leads (social reporting, departmental monitoring); (2) preliminary verification (verification by professional institutions); (3) tiered intervention (taking different measures according to the degree of extremity); (4) follow-up tracking (long-term tracking).</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process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intervention in extreme beliefs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discovery, verification, tiered intervention, tracking.</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emphasizes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procedural justice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sharing the same spirit of the rule of law as Article 68-5 【Preservation of Evidence and Procedural Justice】.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135, Article 68-5.</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2"/>
    <w:bookmarkStart w:id="193" w:name="X86a5f8b200ffddb37ce7bceed0343599f813478"/>
    <w:p>
      <w:pPr>
        <w:pStyle w:val="Heading3"/>
        <w:spacing w:after="120" w:line="312" w:lineRule="auto"/>
        <w:jc w:val="left"/>
      </w:pPr>
      <w:r>
        <w:rPr>
          <w:rFonts w:ascii="DejaVu Serif" w:hAnsi="DejaVu Serif" w:eastAsia="Noto Serif CJK SC"/>
          <w:color w:val="000000"/>
          <w:sz w:val="26"/>
        </w:rPr>
        <w:t xml:space="preserve">Article 137 【The Incentive Mechanism for Positive Beliefs】</w:t>
      </w:r>
    </w:p>
    <w:p>
      <w:pPr>
        <w:pStyle w:val="FirstParagraph"/>
        <w:spacing w:after="120" w:line="312" w:lineRule="auto"/>
      </w:pPr>
      <w:r>
        <w:rPr>
          <w:rFonts w:ascii="DejaVu Serif" w:hAnsi="DejaVu Serif" w:eastAsia="Noto Serif CJK SC"/>
          <w:color w:val="000000"/>
          <w:sz w:val="22"/>
        </w:rPr>
        <w:t xml:space="preserve">In order to expand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support space of positive belief</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of Article 132), an incentive mechanism for positive belief is established: (1) to individuals practising positive belief (such as long-term participation in public welfare), social honor is given (such as the title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 Envoy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to organizations promoting the spread of positive belief, policy support is provided (such as tax reduction and venue support); (3) positive belief practice is incorporated into the personal social-credit evaluation, as a reference basis for high-quality resources (such as employment and loans).</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order to expand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support space of positive belief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 3 of Article 132), an incentive mechanism for positive belief is established: (1) to individuals practising positive belief (such as long-term participation in public welfare), social honor is given (such as the title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 Envoy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(2) to organizations promoting the spread of positive belief, policy support is provided (such as tax reduction and venue support); (3) positive belief practice is incorporated into the personal social-credit evaluation, as a reference basis for high-quality resources.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mechanism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incentivizing positive belief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honor, support and credit, three channels.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131, one being the support mechanism and the other the incentive mechanism, together promoting positive belief.</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131, Article 132, Annex A.05.001 【Credit Evaluation】.</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3"/>
    <w:bookmarkStart w:id="194" w:name="X393dfc82b7e04ce6e2484af140a774e221ff780"/>
    <w:p>
      <w:pPr>
        <w:pStyle w:val="Heading3"/>
        <w:spacing w:after="120" w:line="312" w:lineRule="auto"/>
        <w:jc w:val="left"/>
      </w:pPr>
      <w:r>
        <w:rPr>
          <w:rFonts w:ascii="DejaVu Serif" w:hAnsi="DejaVu Serif" w:eastAsia="Noto Serif CJK SC"/>
          <w:color w:val="000000"/>
          <w:sz w:val="26"/>
        </w:rPr>
        <w:t xml:space="preserve">Article 138 【The Principle of Combining Belief with Commercial Activities】</w:t>
      </w:r>
    </w:p>
    <w:p>
      <w:pPr>
        <w:pStyle w:val="FirstParagraph"/>
        <w:spacing w:after="120" w:line="312" w:lineRule="auto"/>
      </w:pPr>
      <w:r>
        <w:rPr>
          <w:rFonts w:ascii="DejaVu Serif" w:hAnsi="DejaVu Serif" w:eastAsia="Noto Serif CJK SC"/>
          <w:color w:val="000000"/>
          <w:sz w:val="22"/>
        </w:rPr>
        <w:t xml:space="preserve">When belief is combined with commercial activities, the following principles should be followed, to avoid the abuse of belief through commercialization: (1) transparency: clearly informing consumers of the belief elements in commercial activities, not concealing or misleading; (2) non-compulsion: not compelling consumers to accept additional conditions relating to belief (such as requiring the recognition of a specific belief to purchase goods); (3) altruism: using a certain proportion of commercial profits for positive belief practice (such as public charity).</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belief is combined with commercial activities, the following principles should be followed, to avoid the abuse of belief through commercialization: (1) transparency: clearly informing consumers of the belief elements in commercial activities, not concealing or misleading; (2) non-compulsion: not compelling consumers to accept additional conditions relating to belief; (3) altruism: using a certain proportion of commercial profits for positive belief practice (such as public charity).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three principles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combining belief with commerce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transparency, non-compulsion and altruism.</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84 【Services upon Invitation】 and Article 111 【Maximizing Altruism】, showing the Author’s ethic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conducting commercial matters with an altruistic heart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111, Article 84, Article 67.</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4"/>
    <w:bookmarkStart w:id="195" w:name="X3804f41560d42a7ed18bea598144e51c8f44638"/>
    <w:p>
      <w:pPr>
        <w:pStyle w:val="Heading3"/>
        <w:spacing w:after="120" w:line="312" w:lineRule="auto"/>
        <w:jc w:val="left"/>
      </w:pPr>
      <w:r>
        <w:rPr>
          <w:rFonts w:ascii="DejaVu Serif" w:hAnsi="DejaVu Serif" w:eastAsia="Noto Serif CJK SC"/>
          <w:color w:val="000000"/>
          <w:sz w:val="26"/>
        </w:rPr>
        <w:t xml:space="preserve">Article 139 【Ways to Resolve Belief Conflicts】</w:t>
      </w:r>
    </w:p>
    <w:p>
      <w:pPr>
        <w:pStyle w:val="FirstParagraph"/>
        <w:spacing w:after="120" w:line="312" w:lineRule="auto"/>
      </w:pPr>
      <w:r>
        <w:rPr>
          <w:rFonts w:ascii="DejaVu Serif" w:hAnsi="DejaVu Serif" w:eastAsia="Noto Serif CJK SC"/>
          <w:color w:val="000000"/>
          <w:sz w:val="22"/>
        </w:rPr>
        <w:t xml:space="preserve">When a conflict arises between different belief groups, it should be resolved through the following ways, to avoid escalation of the conflict: (1) negotiation first: encouraging both sides of the conflict to reach consensus through equal dialogue; (2) third-party mediation: intervention in mediation by a neutral institution (such as a non-profit mediation organization); (3) legal adjudication: when negotiation and mediation are ineffective, resolving the conflict through legal channels.</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a conflict arises between different belief groups, it should be resolved through the following ways, to avoid escalation of the conflict: (1) negotiation first: encouraging both sides of the conflict to reach consensus through equal dialogue; (2) third-party mediation: intervention in mediation by a neutral institution; (3) legal adjudication: when negotiation and mediation are ineffective, resolving the conflict through legal channels.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ways to resolve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belief conflicts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negotiation, mediation and adjudication.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35 【Equal Exchange】 and Article 117 【General Rules of Communication】, showing the Author’s rational attitude in resolving conflicts.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35, Article 117, Article 136.</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5"/>
    <w:bookmarkStart w:id="196" w:name="article-140-lifelong-belief-education"/>
    <w:p>
      <w:pPr>
        <w:pStyle w:val="Heading3"/>
        <w:spacing w:after="120" w:line="312" w:lineRule="auto"/>
        <w:jc w:val="left"/>
      </w:pPr>
      <w:r>
        <w:rPr>
          <w:rFonts w:ascii="DejaVu Serif" w:hAnsi="DejaVu Serif" w:eastAsia="Noto Serif CJK SC"/>
          <w:color w:val="000000"/>
          <w:sz w:val="26"/>
        </w:rPr>
        <w:t xml:space="preserve">Article 140 【Lifelong Belief Education】</w:t>
      </w:r>
    </w:p>
    <w:p>
      <w:pPr>
        <w:pStyle w:val="FirstParagraph"/>
        <w:spacing w:after="120" w:line="312" w:lineRule="auto"/>
      </w:pPr>
      <w:r>
        <w:rPr>
          <w:rFonts w:ascii="DejaVu Serif" w:hAnsi="DejaVu Serif" w:eastAsia="Noto Serif CJK SC"/>
          <w:color w:val="000000"/>
          <w:sz w:val="22"/>
        </w:rPr>
        <w:t xml:space="preserve">Belief education should run through an individual’s whole life, conforming to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lifelong learning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17 of Article 2), specifically including: (1) the early-childhood stage: conveying through picture books, games and the like the basic belief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love and 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the adult stage: providing diversified resources for belief learning (such as online courses and offline seminars); (3) the elderly stage: organizing belief-sharing activities to help individuals summarize the value of their life belief.</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Belief education should run through an individual’s whole life, conforming to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lifelong learning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 specifically including: (1) the early-childhood stage: conveying through picture books, games and the like the basic belief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love and cooperation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(2) the adult stage: providing diversified resources for belief learning; (3) the elderly stage: organizing belief-sharing activities to help individuals summarize the value of their life belief.</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lifelong belief education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belief education at every stage of life.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item (18) of Article 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capable of lifelong learning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Article 129, showing that the Author’s idea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lifelong learning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extends from knowledge to belief.</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 Article 129, Article 141.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6"/>
    <w:bookmarkStart w:id="197" w:name="X56da0c502464850757e02d31aa0565cd8c96efe"/>
    <w:p>
      <w:pPr>
        <w:pStyle w:val="Heading3"/>
        <w:spacing w:after="120" w:line="312" w:lineRule="auto"/>
        <w:jc w:val="left"/>
      </w:pPr>
      <w:r>
        <w:rPr>
          <w:rFonts w:ascii="DejaVu Serif" w:hAnsi="DejaVu Serif" w:eastAsia="Noto Serif CJK SC"/>
          <w:color w:val="000000"/>
          <w:sz w:val="26"/>
        </w:rPr>
        <w:t xml:space="preserve">Article 141 【Combining Belief with Life Goals】</w:t>
      </w:r>
    </w:p>
    <w:p>
      <w:pPr>
        <w:pStyle w:val="FirstParagraph"/>
        <w:spacing w:after="120" w:line="312" w:lineRule="auto"/>
      </w:pPr>
      <w:r>
        <w:rPr>
          <w:rFonts w:ascii="DejaVu Serif" w:hAnsi="DejaVu Serif" w:eastAsia="Noto Serif CJK SC"/>
          <w:color w:val="000000"/>
          <w:sz w:val="22"/>
        </w:rPr>
        <w:t xml:space="preserve">An individual should combine personal belief with life goals, ensuring the consistency of life action, specifically including: (1) when formulating a life plan (such as career choice and entrepreneurial direction), incorporating the ideas of altruism and cooperation in belief; (2) when a life goal conflicts with belief, giving priority to adjusting the goal to accord with the core values of belief; (3) regularly reviewing the degree of accord between life action and belief, and correcting deviations in time.</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 individual should combine personal belief with life goals, ensuring the consistency of life action, specifically including: (1) when formulating a life plan, incorporating the ideas of altruism and cooperation in belief; (2) when a life goal conflicts with belief, giving priority to adjusting the goal to accord with the core values of belief; (3) regularly reviewing the degree of accord between life action and belief, and correcting deviations in time.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combination of belief with life goals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guiding planning by belief, correcting goals by belief, and rectifying deviations by review.</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119 【Review-ization】 and Article 73 【Win-Win-Ism】, showing the Author’s self-awareness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governing life by belief</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119, Article 73, Article 128.</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7"/>
    <w:bookmarkStart w:id="198" w:name="Xfeccbe04a8f741e2f72ffda88a11cd9b404e3c4"/>
    <w:p>
      <w:pPr>
        <w:pStyle w:val="Heading3"/>
        <w:spacing w:after="120" w:line="312" w:lineRule="auto"/>
        <w:jc w:val="left"/>
      </w:pPr>
      <w:r>
        <w:rPr>
          <w:rFonts w:ascii="DejaVu Serif" w:hAnsi="DejaVu Serif" w:eastAsia="Noto Serif CJK SC"/>
          <w:color w:val="000000"/>
          <w:sz w:val="26"/>
        </w:rPr>
        <w:t xml:space="preserve">Article 142 【Society’s Investment in Belief Education】</w:t>
      </w:r>
    </w:p>
    <w:p>
      <w:pPr>
        <w:pStyle w:val="FirstParagraph"/>
        <w:spacing w:after="120" w:line="312" w:lineRule="auto"/>
      </w:pPr>
      <w:r>
        <w:rPr>
          <w:rFonts w:ascii="DejaVu Serif" w:hAnsi="DejaVu Serif" w:eastAsia="Noto Serif CJK SC"/>
          <w:color w:val="000000"/>
          <w:sz w:val="22"/>
        </w:rPr>
        <w:t xml:space="preserve">Society should increase its investment in belief education, safeguarding the accessibility of educational resources: (1) the governmental level: incorporating belief-education funds into the fiscal budget, supporting schools and communities in carrying out belief-education activities; (2) the enterprise level: encouraging enterprises to participate in public-welfare projects of belief education (such as sponsoring belief-exchange activities); (3) the individual level: advocating voluntary donation by individuals to support the development of positive belief education.</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Society should increase its investment in belief education, safeguarding the accessibility of educational resources: (1) the governmental level: incorporating belief-education funds into the fiscal budget; (2) the enterprise level: encouraging enterprises to participate in public-welfare projects of belief education; (3) the individual level: advocating voluntary donation by individuals to support the development of positive belief education.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three levels (government, enterprise and individual)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investment in belief education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safeguarding the accessibility of educational resources.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140 and Article 131.</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140, Article 131, Article 140.</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8"/>
    <w:bookmarkStart w:id="199" w:name="Xb0be2e8e8f0730c44425da67c0cdcd7d3e1a5a5"/>
    <w:p>
      <w:pPr>
        <w:pStyle w:val="Heading3"/>
        <w:spacing w:after="120" w:line="312" w:lineRule="auto"/>
        <w:jc w:val="left"/>
      </w:pPr>
      <w:r>
        <w:rPr>
          <w:rFonts w:ascii="DejaVu Serif" w:hAnsi="DejaVu Serif" w:eastAsia="Noto Serif CJK SC"/>
          <w:color w:val="000000"/>
          <w:sz w:val="26"/>
        </w:rPr>
        <w:t xml:space="preserve">Article 143A 【Personal Decision Boundaries and Matters of Proactive Help】</w:t>
      </w:r>
    </w:p>
    <w:p>
      <w:pPr>
        <w:pStyle w:val="FirstParagraph"/>
        <w:spacing w:after="120" w:line="312" w:lineRule="auto"/>
      </w:pPr>
      <w:r>
        <w:rPr>
          <w:rFonts w:ascii="DejaVu Serif" w:hAnsi="DejaVu Serif" w:eastAsia="Noto Serif CJK SC"/>
          <w:color w:val="000000"/>
          <w:sz w:val="22"/>
        </w:rPr>
        <w:t xml:space="preserve">〔This article was added by the Fifth Corrective Act of the Charter of Life Action (the Supplementary Amendment Concerning Matters Related to the Boundary of Helping Others) on 20 October 2025.〕</w:t>
      </w:r>
    </w:p>
    <w:p>
      <w:pPr>
        <w:pStyle w:val="BodyText"/>
        <w:spacing w:after="120" w:line="312" w:lineRule="auto"/>
      </w:pPr>
      <w:r>
        <w:rPr>
          <w:rFonts w:ascii="DejaVu Serif" w:hAnsi="DejaVu Serif" w:eastAsia="Noto Serif CJK SC"/>
          <w:color w:val="000000"/>
          <w:sz w:val="22"/>
        </w:rPr>
        <w:t xml:space="preserve">This provision is formulated on the basis of Article 30 【The Principle That No One Other Than the Author May Make Any Decision for the Author】, Article 33 【The First Principle of Personal Values】 and the principle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sustained altruistic mindset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1-2 【Supreme Programmatic Ideal】; it clarifies the boundary of intervention in personal decisions and the applicable circumstances of proactive help, both upholding the core standpoint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reducing external interference and making decisions autonomously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practicing the action logic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altruism that is controllable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ensuring complete congruence with the spirit of the provisions of the original Charter.</w:t>
      </w:r>
    </w:p>
    <w:p>
      <w:pPr>
        <w:pStyle w:val="BodyText"/>
        <w:spacing w:after="120" w:line="312" w:lineRule="auto"/>
      </w:pPr>
      <w:r>
        <w:rPr>
          <w:rFonts w:ascii="DejaVu Serif" w:hAnsi="DejaVu Serif" w:eastAsia="Noto Serif CJK SC"/>
          <w:color w:val="000000"/>
          <w:sz w:val="22"/>
        </w:rPr>
        <w:t xml:space="preserve">㈠ The scope of matters in which the individual does not intervene in decisions. As to the following three categories of matters, the Author in principle does not actively intervene and does not bear decision-making responsibility, unless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applicable circumstances of proactive help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this provision are met, and this boundary may not be changed by any external interference contrary to the Author’s will:</w:t>
      </w:r>
    </w:p>
    <w:p>
      <w:pPr>
        <w:pStyle w:val="BodyText"/>
        <w:spacing w:after="120" w:line="312" w:lineRule="auto"/>
      </w:pPr>
      <w:r>
        <w:rPr>
          <w:rFonts w:ascii="DejaVu Serif" w:hAnsi="DejaVu Serif" w:eastAsia="Noto Serif CJK SC"/>
          <w:color w:val="000000"/>
          <w:sz w:val="22"/>
        </w:rPr>
        <w:t xml:space="preserve">⑴ Broadly unrelated matters: as to affairs of which the Author is unaware, in which he has not participated, and to which there is no legal connection (including a relation of rights and obligations) or factual connection (including an involvement of interests or of conduct), he does not actively intervene in decisions. This provision aims to implement the original Charter’s original intent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reducing to the minimum necessary limit the influence of the outside world upon the course of life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(scattered through Articles 1 and 25), avoiding unrelated affairs occupying core energy.</w:t>
      </w:r>
    </w:p>
    <w:p>
      <w:pPr>
        <w:pStyle w:val="BodyText"/>
        <w:spacing w:after="120" w:line="312" w:lineRule="auto"/>
      </w:pPr>
      <w:r>
        <w:rPr>
          <w:rFonts w:ascii="DejaVu Serif" w:hAnsi="DejaVu Serif" w:eastAsia="Noto Serif CJK SC"/>
          <w:color w:val="000000"/>
          <w:sz w:val="22"/>
        </w:rPr>
        <w:t xml:space="preserve">⑵ Matters without a statutory mandatory duty of assistance: where, although the Author is aware of or has participated in the matter, there is no duty of assistance or help of 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ought to</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nature under currently effective law (including criminal law, civil law, administrative law and the corresponding judicial interpretations), and the Author has expressly stated that he is unwilling to provide help, he does not passively bear decision-making or action responsibility. This provision strictly observes the original Charter’s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taking the mandatory provisions of the criminal law and its judicial interpretations as the lowest baseline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(scattered through Articles 1 and 64), refusing the imposition of obligations without legal basis.</w:t>
      </w:r>
    </w:p>
    <w:p>
      <w:pPr>
        <w:pStyle w:val="BodyText"/>
        <w:spacing w:after="120" w:line="312" w:lineRule="auto"/>
      </w:pPr>
      <w:r>
        <w:rPr>
          <w:rFonts w:ascii="DejaVu Serif" w:hAnsi="DejaVu Serif" w:eastAsia="Noto Serif CJK SC"/>
          <w:color w:val="000000"/>
          <w:sz w:val="22"/>
        </w:rPr>
        <w:t xml:space="preserve">⑶ Matters without a dual legal and moral duty: where there is neither a legal mandatory requirement of assistance, nor a clear constraint of social morality (excluding subjectively conjectured moral expectations) or a moral duty agreed in the original Charter, and the Author is expressly unwilling to help, he does not forcefully intervene in decisions. This provision conforms to the standpoint of Article 33 【The First Principle of Personal Values】 of the original Charter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apart from the Author, no one has the right to tell the Author in a preaching manner what he should do</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safeguarding decision-making autonomy from unnecessary moral kidnapping.</w:t>
      </w:r>
    </w:p>
    <w:p>
      <w:pPr>
        <w:pStyle w:val="BodyText"/>
        <w:spacing w:after="120" w:line="312" w:lineRule="auto"/>
      </w:pPr>
      <w:r>
        <w:rPr>
          <w:rFonts w:ascii="DejaVu Serif" w:hAnsi="DejaVu Serif" w:eastAsia="Noto Serif CJK SC"/>
          <w:color w:val="000000"/>
          <w:sz w:val="22"/>
        </w:rPr>
        <w:t xml:space="preserve">㈡ The applicable circumstances of proactive help. As to the matters listed in items 2 and 3 of paragraph 1 of this article, if all of the following conditions are simultaneously satisfied, the Author may proactively provide help; if only some are satisfied, the helping conduct may not be initiated. The specific circumstances are as follows:</w:t>
      </w:r>
    </w:p>
    <w:p>
      <w:pPr>
        <w:pStyle w:val="BodyText"/>
        <w:spacing w:after="120" w:line="312" w:lineRule="auto"/>
      </w:pPr>
      <w:r>
        <w:rPr>
          <w:rFonts w:ascii="DejaVu Serif" w:hAnsi="DejaVu Serif" w:eastAsia="Noto Serif CJK SC"/>
          <w:color w:val="000000"/>
          <w:sz w:val="22"/>
        </w:rPr>
        <w:t xml:space="preserve">⑴ Limitation of the object of help: the object of help must be groups such as girls, women, children, the sick and the frail who genuinely need help, and must, upon objective judgment (in the light of their actual situation and ability to obtain resources), belong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good-faith non-advantaged groups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namely, a group that has no provocative conduct and no intent to seek improper benefits through help (such as extra demands for property or unreasonable assertions of rights), while genuinely having a real need for help (such as being unable to independently resolve problems related to survival or health), ensuring that the helping conduct conforms to the core orientation of the original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sustained altruistic mindset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⑵ The manner of request and exceptions:</w:t>
      </w:r>
    </w:p>
    <w:p>
      <w:pPr>
        <w:pStyle w:val="BodyText"/>
        <w:spacing w:after="120" w:line="312" w:lineRule="auto"/>
      </w:pPr>
      <w:r>
        <w:rPr>
          <w:rFonts w:ascii="DejaVu Serif" w:hAnsi="DejaVu Serif" w:eastAsia="Noto Serif CJK SC"/>
          <w:color w:val="000000"/>
          <w:sz w:val="22"/>
        </w:rPr>
        <w:t xml:space="preserve">① Ordinary circumstances: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good-faith non-advantaged group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the person himself, or his relatives, guardians and other interested parties — must make the request for help in a manner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 provocative conduct and polite expression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there must be no threatening, coercive, insulting or disrespectful words or conduct; this requirement echoes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taking respect as the basis of communication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118 【The Meaning of Equal Respect for Others】 of the original Charter;</w:t>
      </w:r>
    </w:p>
    <w:p>
      <w:pPr>
        <w:pStyle w:val="BodyText"/>
        <w:spacing w:after="120" w:line="312" w:lineRule="auto"/>
      </w:pPr>
      <w:r>
        <w:rPr>
          <w:rFonts w:ascii="DejaVu Serif" w:hAnsi="DejaVu Serif" w:eastAsia="Noto Serif CJK SC"/>
          <w:color w:val="000000"/>
          <w:sz w:val="22"/>
        </w:rPr>
        <w:t xml:space="preserve">② Exceptional circumstances: if, owing to an emergency such as a sudden illness (e.g., a heart attack) or accidental injury (e.g., injury in a traffic accident), a person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good-faith non-advantaged group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unable to autonomously make a declaration of intent (e.g., coma, loss of speech capacity), then no proactive request by the person himself or an interested party is required, and the Author may, on the basis of objective judgment, initiate necessary help; this exception continues the action logic of the original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flexible adaptation under extreme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(scattered through Articles 1 and 64), balancing altruism and realistic reasonableness.</w:t>
      </w:r>
    </w:p>
    <w:p>
      <w:pPr>
        <w:pStyle w:val="BodyText"/>
        <w:spacing w:after="120" w:line="312" w:lineRule="auto"/>
      </w:pPr>
      <w:r>
        <w:rPr>
          <w:rFonts w:ascii="DejaVu Serif" w:hAnsi="DejaVu Serif" w:eastAsia="Noto Serif CJK SC"/>
          <w:color w:val="000000"/>
          <w:sz w:val="22"/>
        </w:rPr>
        <w:t xml:space="preserve">⑶ The boundary of the content of help: the helping conduct must simultaneously satisfy three requirements:</w:t>
      </w:r>
    </w:p>
    <w:p>
      <w:pPr>
        <w:pStyle w:val="BodyText"/>
        <w:spacing w:after="120" w:line="312" w:lineRule="auto"/>
      </w:pPr>
      <w:r>
        <w:rPr>
          <w:rFonts w:ascii="DejaVu Serif" w:hAnsi="DejaVu Serif" w:eastAsia="Noto Serif CJK SC"/>
          <w:color w:val="000000"/>
          <w:sz w:val="22"/>
        </w:rPr>
        <w:t xml:space="preserve">① Lawfulness: it must not violate currently effective mandatory provisions of law (e.g., it must not assist in evading legal liability);</w:t>
      </w:r>
    </w:p>
    <w:p>
      <w:pPr>
        <w:pStyle w:val="BodyText"/>
        <w:spacing w:after="120" w:line="312" w:lineRule="auto"/>
      </w:pPr>
      <w:r>
        <w:rPr>
          <w:rFonts w:ascii="DejaVu Serif" w:hAnsi="DejaVu Serif" w:eastAsia="Noto Serif CJK SC"/>
          <w:color w:val="000000"/>
          <w:sz w:val="22"/>
        </w:rPr>
        <w:t xml:space="preserve">② Protection of interests: it must not cause damage to the Author’s core interests (including the right to life, the right to personal liberty, the right to autonomous strategic decision, and major property rights and interests);</w:t>
      </w:r>
    </w:p>
    <w:p>
      <w:pPr>
        <w:pStyle w:val="BodyText"/>
        <w:spacing w:after="120" w:line="312" w:lineRule="auto"/>
      </w:pPr>
      <w:r>
        <w:rPr>
          <w:rFonts w:ascii="DejaVu Serif" w:hAnsi="DejaVu Serif" w:eastAsia="Noto Serif CJK SC"/>
          <w:color w:val="000000"/>
          <w:sz w:val="22"/>
        </w:rPr>
        <w:t xml:space="preserve">③ Measure: it must strictly follow the action logic of the original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minimum feasible contribution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(scattered through Articles 1 and 8), investing only necessary time, energy or resources, and avoiding, through excessive help, impairing the advancement of one’s own life goals (such as global sojourning and the founding of a private fund).</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5"/>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provision is formulated on the basis of Article 30 【The Principle That No One Other Than the Author May Make Any Decision for the Author】, Article 33 【The First Principle of Personal Values】 and the principle of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sustained altruistic mindset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Article 1-2 【Supreme Programmatic Ideal】; it clarifies the boundary of intervention in personal decisions and the applicable circumstances of proactive help … ㈠ The scope of matters in which the individual does not intervene in decisions: as to the following three categories of matters, the Author in principle does not actively intervene … ⑴ broadly unrelated matters … ⑵ matters without a statutory mandatory duty of assistance … ⑶ matters without a dual legal and moral duty … ㈡ The applicable circumstances of proactive help: as to the matters listed in items 2 and 3 of paragraph 1 of this article, if all of the following conditions are simultaneously satisfied, the Author may proactively provide help; if only some are satisfied, the helping conduct may not be initiated: ⑴ limitation of the object of help (which must belong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good-faith non-advantaged groups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 ⑵ the manner of request and exceptions … ⑶ the boundary of the content of help (lawfulness, protection of interests, measure) …</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 general outline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boundary of helping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difficulty in legislation lies in two meanings that are opposed yet must run in parallel: one meaning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namely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reducing to the minimum necessary limit the influence of the outside world upon the course of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established in Article 1 of the Main Charter,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one other than the Author may make any decision for the Author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established in Article 30, 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first principle of personal values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established in Article 33; the other meaning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namely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sustained altruistic mindset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established in Article 1-2. Were there only autonomy, it would degenerate into self-guarding; were there only altruism, it would lose all measure. The establishment of this article is precisely to draw the boundary for these two meanings: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boundary of non-intervention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guarding autonomy, and with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circumstances of help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extending altruism. Hence this article self-declares its basis in three matters (Articles 30 and 33 and Article 1-2), and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both upholding … and practicing …</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legislative method — this is no empty rhetoric.</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three categories of paragraph 1 follow a logical order from the outside inward: broadly unrelated matters take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connection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boundary (no legal connection, no factual connection); matters without a statutory mandatory duty of assistance take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duty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boundary (no duty of assistance of 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ought to</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must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nature, and the Author having expressly stated his unwillingness to provide help); matters without a dual legal and moral duty take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two-tier test of law and morality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boundary (whether mandatory legal requirements, or clear constraints of social morality, or moral duties agreed in the Charter). All three take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express statement of unwillingness to help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their common pre-requisite, and thus it is not an implied abandonment but an express statement followed by adherence. These three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non-interventions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not negative shirking, but the implementation of the three meanings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avoiding unrelated affairs occupying core energy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refusing the imposition of obligations without legal basis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safeguarding decision-making autonomy from unnecessary moral kidnapping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000000"/>
                <w:sz w:val="19"/>
              </w:rPr>
              <w:t xml:space="preserve">The three conditions of paragraph 2 follow the logic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initiation only when all are complete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condition one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(must belong to a good-faith non-advantaged group, with no provocation and no intent to seek improper benefits through help, while genuinely having a real need for help); condition two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request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(must be made in a manner of no provocation and polite expression; in emergency circumstances an exception is set, permitting the initiation of necessary help upon objective judgment); condition three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boundary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(lawfulness, protection of interests and measure must all be satisfied). The words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if all of the following conditions are simultaneously satisfied, the Author may proactively provide help; if only some are satisfied, the helping conduct may not be initiated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an express provision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cumulative conditions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thus the absence of any one makes it impermissible. Among them, the one condition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measure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feasible contribution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criterion, making clear that the help must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invest only necessary time, energy or resources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must not, through excessive help, obstruct the advancement of one’s own life goals (such as global sojourning and the founding of a private fund). This is the correct understanding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 that is controllable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only altruism that does not damage one’s own foundation is sustainable altruism.</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help of paragraph 2 is expressly stated to be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 to the matters listed in items 2 and 3 of paragraph 1 of this article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does not extend to item 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broadly unrelated matters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what is the meaning of this?</w:t>
            </w:r>
            <w:r>
              <w:rPr>
                <w:rFonts w:ascii="DejaVu Serif" w:hAnsi="DejaVu Serif" w:eastAsia="Noto Sans CJK SC"/>
                <w:color w:val="000000"/>
                <w:sz w:val="19"/>
              </w:rPr>
              <w:t xml:space="preserve"> </w:t>
            </w: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is the key boundary of this article. As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broadly unrelated matters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item 1, the Author is neither aware of nor has participated in them, and there is no legal or factual connection; hence, even if a good-faith non-advantaged group makes a request, it does not fall within the scope of the help of this article — otherwise the boundary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unrelated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would be entirely abolished, contrary to the purport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reducing to the minimum necessary limit the influence of the outside world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Hence the help of this article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being aware of or having participated 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premise; this is the point to which those interpreting this article should first attend.</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 1-2, 8, 25, 30, 33, 64 and 118 of the Main Charter; Annex B.01.001, the Exemption List of the Principle of Not Helping Unless Necessary of the Charter of Life Action; Annex C.01.001.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9"/>
    <w:bookmarkStart w:id="200" w:name="X1669b1dbc222451fad9e6dee1fcc73ce32350af"/>
    <w:p>
      <w:pPr>
        <w:pStyle w:val="Heading3"/>
        <w:spacing w:after="120" w:line="312" w:lineRule="auto"/>
        <w:jc w:val="left"/>
      </w:pPr>
      <w:r>
        <w:rPr>
          <w:rFonts w:ascii="DejaVu Serif" w:hAnsi="DejaVu Serif" w:eastAsia="Noto Serif CJK SC"/>
          <w:color w:val="000000"/>
          <w:sz w:val="26"/>
        </w:rPr>
        <w:t xml:space="preserve">Article 143B 【Cooperation in Transnational Belief Education】</w:t>
      </w:r>
    </w:p>
    <w:p>
      <w:pPr>
        <w:pStyle w:val="FirstParagraph"/>
        <w:spacing w:after="120" w:line="312" w:lineRule="auto"/>
      </w:pPr>
      <w:r>
        <w:rPr>
          <w:rFonts w:ascii="DejaVu Serif" w:hAnsi="DejaVu Serif" w:eastAsia="Noto Serif CJK SC"/>
          <w:color w:val="000000"/>
          <w:sz w:val="22"/>
        </w:rPr>
        <w:t xml:space="preserve">〔This article is an original provision of the belief series (Articles 128 to 145).〕 In order to promote the building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cosmic-civilization community with a shared future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 and strengthen cooperation in transnational belief education: (1) establishing a transnational belief-education alliance to share educational resources (such as course systems and expert resources); (2) organizing transnational belief-education exchange activities (such as student exchange and academic seminars); (3) jointly formulating transnational belief-education standards to ensure that educational quality is consistent with the orientation of civilizational values.</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9"/>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order to promote the building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cosmic-civilization community with a shared future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and strengthen cooperation in transnational belief education: (1) establishing a transnational belief-education alliance to share educational resources; (2) organizing transnational belief-education exchange activities; (3) jointly formulating transnational belief-education standards.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cooperation in transnational belief education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forming an alliance, holding exchanges, formulating standards.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expressly cites Article 1-2 and is akin to Article 134 【Transnational Belief Cooperation】, together forming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transnational, cross-civilizational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vision of belief.</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134, Article 141.</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200"/>
    <w:bookmarkStart w:id="201" w:name="X6bc1e6fd10a14cbe55ce571e1ac4083b92544da"/>
    <w:p>
      <w:pPr>
        <w:pStyle w:val="Heading3"/>
        <w:spacing w:after="120" w:line="312" w:lineRule="auto"/>
        <w:jc w:val="left"/>
      </w:pPr>
      <w:r>
        <w:rPr>
          <w:rFonts w:ascii="DejaVu Serif" w:hAnsi="DejaVu Serif" w:eastAsia="Noto Serif CJK SC"/>
          <w:color w:val="000000"/>
          <w:sz w:val="26"/>
        </w:rPr>
        <w:t xml:space="preserve">Article 144A 【The Binary Iron Rule of Organizational Participation】</w:t>
      </w:r>
    </w:p>
    <w:p>
      <w:pPr>
        <w:pStyle w:val="FirstParagraph"/>
        <w:spacing w:after="120" w:line="312" w:lineRule="auto"/>
      </w:pPr>
      <w:r>
        <w:rPr>
          <w:rFonts w:ascii="DejaVu Serif" w:hAnsi="DejaVu Serif" w:eastAsia="Noto Serif CJK SC"/>
          <w:color w:val="000000"/>
          <w:sz w:val="22"/>
        </w:rPr>
        <w:t xml:space="preserve">〔This article was added by the newly added principled provision of 22 August 2026, signed into effect by the Author.〕</w:t>
      </w:r>
    </w:p>
    <w:p>
      <w:pPr>
        <w:pStyle w:val="BodyText"/>
        <w:spacing w:after="120" w:line="312" w:lineRule="auto"/>
      </w:pPr>
      <w:r>
        <w:rPr>
          <w:rFonts w:ascii="DejaVu Serif" w:hAnsi="DejaVu Serif" w:eastAsia="Noto Serif CJK SC"/>
          <w:color w:val="000000"/>
          <w:sz w:val="22"/>
        </w:rPr>
        <w:t xml:space="preserve">The Author’s participation in any organization is limited to one of the following two circumstances only:</w:t>
      </w:r>
    </w:p>
    <w:p>
      <w:pPr>
        <w:numPr>
          <w:ilvl w:val="0"/>
          <w:numId w:val="1025"/>
        </w:numPr>
        <w:spacing w:after="120" w:line="312" w:lineRule="auto"/>
      </w:pPr>
      <w:r>
        <w:rPr>
          <w:rFonts w:ascii="DejaVu Serif" w:hAnsi="DejaVu Serif" w:eastAsia="Noto Serif CJK SC"/>
          <w:color w:val="000000"/>
          <w:sz w:val="22"/>
        </w:rPr>
        <w:t xml:space="preserve">An organization established by the Author himself — an organization personally founded by the Author, whose members (personnel) are selected and determined personally by the Author;</w:t>
      </w:r>
    </w:p>
    <w:p>
      <w:pPr>
        <w:numPr>
          <w:ilvl w:val="0"/>
          <w:numId w:val="1025"/>
        </w:numPr>
        <w:spacing w:after="120" w:line="312" w:lineRule="auto"/>
      </w:pPr>
      <w:r>
        <w:rPr>
          <w:rFonts w:ascii="DejaVu Serif" w:hAnsi="DejaVu Serif" w:eastAsia="Noto Serif CJK SC"/>
          <w:color w:val="000000"/>
          <w:sz w:val="22"/>
        </w:rPr>
        <w:t xml:space="preserve">An organization which the Author voluntarily joins for a specific purpose — where the Author fully endorses the organization’s purposes and core members, and voluntarily joins on the basis of a specific, clear purpose.</w:t>
      </w:r>
    </w:p>
    <w:p>
      <w:pPr>
        <w:pStyle w:val="FirstParagraph"/>
        <w:spacing w:after="120" w:line="312" w:lineRule="auto"/>
      </w:pPr>
      <w:r>
        <w:rPr>
          <w:rFonts w:ascii="DejaVu Serif" w:hAnsi="DejaVu Serif" w:eastAsia="Noto Serif CJK SC"/>
          <w:color w:val="000000"/>
          <w:sz w:val="22"/>
        </w:rPr>
        <w:t xml:space="preserve">Apart from the two circumstances listed in the preceding two paragraphs, the Author does not participate in any organization; in particular, he does not accept participation in rigid institutional organizations including but not limited to the civil service, whatever benefits, status or treatment may attach.</w:t>
      </w:r>
    </w:p>
    <w:p>
      <w:pPr>
        <w:pStyle w:val="BodyText"/>
        <w:spacing w:after="120" w:line="312" w:lineRule="auto"/>
      </w:pPr>
      <w:r>
        <w:rPr>
          <w:rFonts w:ascii="DejaVu Serif" w:hAnsi="DejaVu Serif" w:eastAsia="Noto Serif CJK SC"/>
          <w:color w:val="000000"/>
          <w:sz w:val="22"/>
        </w:rPr>
        <w:t xml:space="preserve">For the detailed circumstances, identification standards, exceptions and implementation of this article, see Annex A.08.001, the Detailed Implementing Rules of the Binary Iron Rule of Organizational Participation.</w:t>
      </w:r>
    </w:p>
    <w:tbl>
      <w:tblPr>
        <w:tblStyle w:val="Table"/>
        <w:tblW w:type="pct" w:w="500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2"/>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144 【The Binary Iron Rule of Organizational Participation】: The Author’s participation in any organization is limited to one of the following two circumstances only: (1) an organization established by the Author himself — an organization personally founded by the Author, whose members (personnel) are selected and determined personally by the Author; (2) an organization which the Author voluntarily joins for a specific purpose — where the Author fully endorses the organization’s purposes and core members, and voluntarily joins on the basis of a specific, clear purpose. Apart from the two circumstances listed in the preceding two paragraphs, the Author does not participate in any organization; in particular, he does not accept participation in rigid institutional organizations including but not limited to the civil service, whatever benefits, status or treatment may attach. For the detailed circumstances, identification standards, exceptions and implementation of this article, see Annex A.08.001, the Detailed Implementing Rules of the Binary Iron Rule of Organizational Participation. Author: Aaron Suen. Effective date: 22 August 2026.</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The establishment of this article has three purposes. First,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guarding autonomy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Main Charter takes the absolute freedom and development of the sovereign individual as its philosophical cornerstone; any participation in an organization may introduce an external will, temporality and evaluation, and thus whatever is neither self-established nor voluntarily joined is enough to shake the Author’s autonomy. Second,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consistency of structure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Article 94 of the Main Charter prohibits enlisting and going to war, Article 95 prohibits joining political parties, and Article 96 establishes not taking a political stance; these three are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non-participation in specific domains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whereas this article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access rule for participation in all organizations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is thus the general outline of the preceding three. Third,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preventing circumvention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in establishing any principle, the greatest concern is the way of evasion; under names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a post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attaching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secondment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external engagement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one may, under the name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unwillingness to join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reap the substance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actual subordination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This article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participation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rather than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joining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object, and hence any substantive participation, whatever its name, falls within its scope. The three together make this article not merely a newly added provision but in truth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organizational gate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whole system.</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structure of this article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binary + catch-all exclusion + authorizing detailed rules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in clear layers. (1)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self-established organization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paragraph 1 has two requirements: first,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personally founded by the Author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second,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whose members (personnel) are selected and determined personally by the Author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Hence the criterion of identification lies not in the name of the organization but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whence the personnel come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wherever the personnel do not come from the Author, it does not satisfy paragraph 1. Annex A.08.001 additionally sets the identification standard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selection by delegation, upon the Author’s review, countersignature and approval, is deemed personal selection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which is an extension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personally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where another is delegated to select on one’s behalf and the Author reviews, countersigns and approves, it is deemed personal selection; this is a feasible adaptation, yet still takes the Author’s review and approval as its invariable core. (2)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organization voluntarily joined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paragraph 2 also has two requirements: first,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fully endorsing the organization’s purposes and core members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word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fully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being essential, and any reservation failing to satisfy it; second,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on the basis of a specific, clear purpose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four characters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specific, clear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being essential, and any vague purpose failing to satisfy it. Only when the two are combined is it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voluntary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(3) Paragraph 3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catch-all exclusion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apart from the two circumstances listed in the preceding two paragraphs, the Author does not participate in any organization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first exclusion;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particular, he does not accept participation in rigid institutional organizations including but not limited to the civil service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second, enumerative exclusion;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whatever benefits, status or treatment may attach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third, value-based exclusion. With the three superimposed, the path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tempting by benefit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also blocked — whatever uses status, treatment or position as bait, this article rejects in advance. (4) Paragraph 4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authorization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detailed circumstances, identification standards, exceptions and implementation of this article are all delegated to Annex A.08.001, the Detailed Implementing Rules of the Binary Iron Rule of Organizational Participation. Provisions value brevity, detailed rules value fullness; this article establishes its outline briefly and completes its items through Annex A.08.001 — this is precisely the system’s division whereby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Main Charter is the fundamental principle, and the annexes are the implementing detailed rules of specific domains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the Author, out of the urgent need to make a living, must take a post in an organization that is neither self-established nor voluntarily joined, may it be said to conform to this article?</w:t>
            </w:r>
            <w:r>
              <w:rPr>
                <w:rFonts w:ascii="DejaVu Serif" w:hAnsi="DejaVu Serif" w:eastAsia="Noto Sans CJK SC"/>
                <w:color w:val="000000"/>
                <w:sz w:val="19"/>
              </w:rPr>
              <w:t xml:space="preserve"> </w:t>
            </w: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may not. Apart from paragraphs (1) and (2) of this article, there is no third path; hence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urgent need to make a living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not a ground for accommodation. When pressed by livelihood, one should follow the income-generating paths established in Articles 8 and 8-2 of the Main Charter (consulting, planning, intermediary, agency, leasing, finance, etc.) and their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feasible essentialist steps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or examine, under paragraph 2’s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specific, clear purpose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whether it is truly a voluntary joining — one may not break the iron rule on the spur of the moment.</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What is the relationship between this article 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necessary exceptions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96-2?</w:t>
            </w:r>
            <w:r>
              <w:rPr>
                <w:rFonts w:ascii="DejaVu Serif" w:hAnsi="DejaVu Serif" w:eastAsia="Noto Sans CJK SC"/>
                <w:color w:val="000000"/>
                <w:sz w:val="19"/>
              </w:rPr>
              <w:t xml:space="preserve"> </w:t>
            </w: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They operate at different levels and cannot be invoked for one another. What Article 96-2 resolves is the exemption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not taking a political stance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circumstances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key and essential work appointment and performance of duties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object being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expression of a political stance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what this article governs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participation in an organization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itself, its object being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whether to participate or not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Hence, even with the exception of Article 96-2, one may not thereby participate in an organization excluded by this article; conversely, whenever participation satisfies the binary rule of this article, the expression of political stance is still bound by Articles 95 and 96 and their exceptions. Only when each keeps to its own domain is there no disorder.</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8, 8-2, 94, 95, 96, 96-2, 96-3 and 144 of the Main Charter; Annex A.08.001, the Detailed Implementing Rules of the Binary Iron Rule of Organizational Participation; Annex D.01.001, the Implementing Regulations on the Principle of Non-Participation in War.</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000000"/>
                <w:sz w:val="19"/>
              </w:rPr>
              <w:t xml:space="preserve">(End of this Part)</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201"/>
    <w:bookmarkStart w:id="202" w:name="X242d296fa7a4a2dbfa478ca0e3c0c2686513301"/>
    <w:p>
      <w:pPr>
        <w:pStyle w:val="Heading3"/>
        <w:spacing w:after="120" w:line="312" w:lineRule="auto"/>
        <w:jc w:val="left"/>
      </w:pPr>
      <w:r>
        <w:rPr>
          <w:rFonts w:ascii="DejaVu Serif" w:hAnsi="DejaVu Serif" w:eastAsia="Noto Serif CJK SC"/>
          <w:color w:val="000000"/>
          <w:sz w:val="26"/>
        </w:rPr>
        <w:t xml:space="preserve">Article 144B 【Emergency Response Mechanism for Belief Crises】</w:t>
      </w:r>
    </w:p>
    <w:p>
      <w:pPr>
        <w:pStyle w:val="FirstParagraph"/>
        <w:spacing w:after="120" w:line="312" w:lineRule="auto"/>
      </w:pPr>
      <w:r>
        <w:rPr>
          <w:rFonts w:ascii="DejaVu Serif" w:hAnsi="DejaVu Serif" w:eastAsia="Noto Serif CJK SC"/>
          <w:color w:val="000000"/>
          <w:sz w:val="22"/>
        </w:rPr>
        <w:t xml:space="preserve">When a large-scale belief crisis arises (such as the spread of extreme belief), the emergency response mechanism is activated: (1) establishing an emergency team: composed of the government, social organizations and experts, coordinating the response work; (2) information disclosure: promptly releasing to the public the progress of the crisis and the response measures, avoiding the spread of rumors; (3) concentrated intervention: mobilizing resources to carry out concentrated education and guidance for the groups affected by extreme belief.</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a large-scale belief crisis arises (such as the spread of extreme belief), the emergency response mechanism is activated: (1) establishing an emergency team (composed of the government, social organizations and experts); (2) information disclosure (promptly releasing progress and measures, avoiding rumors); (3) concentrated intervention (concentrated education and guidance for groups affected by extreme belief).</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emergency response to belief crises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an emergency team, information disclosure and concentrated intervention.</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132 and Article 136, together forming the governance chain of belief risk.</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Note: The Article 144 of this article (the emergency response mechanism for belief crises) is that contained in the 20251020 consolidated edition. On 22 August 2026, the Charter newly added another Article 144 【The Binary Iron Rule of Organizational Participation】. The two article numbers overlap; their evolution and application are detailed in Section 9 of Part Two and in the 【Cross-ref】 of this article. This Commentary handles it in accordance with Article 126 【The Principle of Applying the Latest Charter】: the currently effective Article 144 is 【The Binary Iron Rule of Organizational Participation】; this article (emergency response to belief crises) is one of the provisions of the belief series, and its effect is subject to the authoritative text and the latest systematic catalogue.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136, Article 145, Article 126, Section 9 of Part Two.</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202"/>
    <w:bookmarkStart w:id="204" w:name="X63a199081a6a59667263f30dc4e61145e9f7a41"/>
    <w:p>
      <w:pPr>
        <w:pStyle w:val="Heading3"/>
        <w:spacing w:after="120" w:line="312" w:lineRule="auto"/>
        <w:jc w:val="left"/>
      </w:pPr>
      <w:r>
        <w:rPr>
          <w:rFonts w:ascii="DejaVu Serif" w:hAnsi="DejaVu Serif" w:eastAsia="Noto Serif CJK SC"/>
          <w:color w:val="000000"/>
          <w:sz w:val="26"/>
        </w:rPr>
        <w:t xml:space="preserve">Article 145 【Principles for Amending Belief-Related Provisions】</w:t>
      </w:r>
    </w:p>
    <w:p>
      <w:pPr>
        <w:pStyle w:val="FirstParagraph"/>
        <w:spacing w:after="120" w:line="312" w:lineRule="auto"/>
      </w:pPr>
      <w:r>
        <w:rPr>
          <w:rFonts w:ascii="DejaVu Serif" w:hAnsi="DejaVu Serif" w:eastAsia="Noto Serif CJK SC"/>
          <w:color w:val="000000"/>
          <w:sz w:val="22"/>
        </w:rPr>
        <w:t xml:space="preserve">When the belief-related provisions of this Charter (Articles 128 to 144) are amended, the following principles must be followed: (1) consistency of values: the amended content must conform to the core values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community with a shared future for mankind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broad participation: before amendment, opinions must be solicited from all sectors of society (such as experts, the public and transnational organizations); (3) legal compliance: the amended content must not violate the mandatory provisions of the criminal law, administrative law, etc. of the country where the conduct occurs; #This provision clarifies the boundary of amendment of belief-related provisions, safeguarding the scientificity and compliance of the amendment of provisions, and closely connecting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response to amendment of laws and regulations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125) of this Charter#.</w:t>
      </w:r>
    </w:p>
    <w:p>
      <w:pPr>
        <w:pStyle w:val="BodyText"/>
        <w:spacing w:after="120" w:line="312" w:lineRule="auto"/>
      </w:pPr>
      <w:r>
        <w:rPr>
          <w:rFonts w:ascii="DejaVu Serif" w:hAnsi="DejaVu Serif" w:eastAsia="Noto Serif CJK SC"/>
          <w:color w:val="000000"/>
          <w:sz w:val="22"/>
        </w:rPr>
        <w:t xml:space="preserve">i All references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employee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this text, whether or not specially stated, shall mean one or more of civil and commercial partners, civil and commercial cooperators, and engaged personnel (the same throughout).</w:t>
      </w:r>
    </w:p>
    <w:p>
      <w:pPr>
        <w:pStyle w:val="BodyText"/>
        <w:spacing w:after="120" w:line="312" w:lineRule="auto"/>
      </w:pPr>
      <w:r>
        <w:rPr>
          <w:rFonts w:ascii="DejaVu Serif" w:hAnsi="DejaVu Serif" w:eastAsia="Noto Serif CJK SC"/>
          <w:color w:val="000000"/>
          <w:sz w:val="22"/>
        </w:rPr>
        <w:t xml:space="preserve">The Fifth Corrective Act of the Charter of Life Action for Cosmopolitanization, Globalization and Internationalization</w:t>
      </w:r>
    </w:p>
    <w:p>
      <w:pPr>
        <w:pStyle w:val="BodyText"/>
        <w:spacing w:after="120" w:line="312" w:lineRule="auto"/>
      </w:pPr>
      <w:r>
        <w:rPr>
          <w:rFonts w:ascii="DejaVu Serif" w:hAnsi="DejaVu Serif" w:eastAsia="Noto Serif CJK SC"/>
          <w:color w:val="000000"/>
          <w:sz w:val="22"/>
        </w:rPr>
        <w:t xml:space="preserve">Article 1. On the basis of Articles 122, 124 and 126 of the Charter of Life Action, the Author now, in his life practice, makes a supplementary amendment concerning matters related to the boundary of helping others, and adds one article as Article 143 of the Charter of Life Action, the full text of which is as follows:</w:t>
      </w:r>
    </w:p>
    <w:p>
      <w:pPr>
        <w:pStyle w:val="BodyText"/>
        <w:spacing w:after="120" w:line="312" w:lineRule="auto"/>
      </w:pPr>
      <w:r>
        <w:rPr>
          <w:rFonts w:ascii="DejaVu Serif" w:hAnsi="DejaVu Serif" w:eastAsia="Noto Serif CJK SC"/>
          <w:color w:val="000000"/>
          <w:sz w:val="22"/>
        </w:rPr>
        <w:t xml:space="preserve">Article 2. This Corrective Act takes effect from 20 October 2025 and is implemented from the date of its effect.</w:t>
      </w:r>
    </w:p>
    <w:p>
      <w:pPr>
        <w:pStyle w:val="BodyText"/>
        <w:spacing w:after="120" w:line="312" w:lineRule="auto"/>
      </w:pPr>
      <w:r>
        <w:rPr>
          <w:rFonts w:ascii="DejaVu Serif" w:hAnsi="DejaVu Serif" w:eastAsia="Noto Serif CJK SC"/>
          <w:color w:val="000000"/>
          <w:sz w:val="22"/>
        </w:rPr>
        <w:t xml:space="preserve">Signature of the amender of the Charter:</w:t>
      </w:r>
    </w:p>
    <w:p>
      <w:pPr>
        <w:pStyle w:val="BodyText"/>
        <w:spacing w:after="120" w:line="312" w:lineRule="auto"/>
      </w:pPr>
      <w:r>
        <w:rPr>
          <w:rFonts w:ascii="DejaVu Serif" w:hAnsi="DejaVu Serif" w:eastAsia="Noto Serif CJK SC"/>
          <w:color w:val="000000"/>
          <w:sz w:val="22"/>
        </w:rPr>
        <w:t xml:space="preserve">20 October 2025</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the belief-related provisions of this Charter (Articles 128 to 144) are amended, the following principles must be followed: (1) consistency of values: the amended content must conform to the core values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civilizational success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 community with a shared future for mankind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(2) broad participation: before amendment, opinions must be solicited from all sectors of society (such as experts, the public and transnational organizations); (3) legal compliance: the amended content must not violate the mandatory provisions of the criminal law, administrative law, etc. of the country where the conduct occurs.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principles for amending belief-related provisions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consistency of values, broad participation and legal compliance.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 final article of the chapter on civilizational belief, and also the end of the sequence of the Main Charter’s provisions; its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compliance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echoes Article 125 【Response to the Amendment of Laws】, being a reaffirmation of this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the end of the Charter’s main text it is expressly provided: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references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employee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this text, whether or not specially stated, shall mean one or more of civil and commercial partners, civil and commercial cooperators, and engaged personnel (the same throughout).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general rule of terminology is the textual basis for the handling of terminology in this Commentary (see Article 4 of the General Rules).</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125, Article 122, Article 128, Article 4 of the General Rules.</w:t>
            </w:r>
          </w:p>
        </w:tc>
      </w:tr>
      <w:tr>
        <w:tc>
          <w:tcPr/>
          <w:p>
            <w:pPr>
              <w:pStyle w:val="Compact"/>
              <w:spacing w:after="40" w:line="288" w:lineRule="auto"/>
            </w:pPr>
          </w:p>
        </w:tc>
      </w:tr>
      <w:tr>
        <w:tc>
          <w:tcPr/>
          <w:p>
            <w:pPr>
              <w:pStyle w:val="Heading2"/>
              <w:spacing w:after="40" w:line="288" w:lineRule="auto"/>
              <w:jc w:val="left"/>
            </w:pPr>
            <w:bookmarkStart w:id="203" w:name="X05a1e7529dc9af953ed6548b4b7171ea4a1eb05"/>
            <w:r>
              <w:rPr>
                <w:rFonts w:ascii="DejaVu Serif" w:hAnsi="DejaVu Serif" w:eastAsia="Noto Sans CJK SC"/>
                <w:color w:val="000000"/>
                <w:sz w:val="19"/>
              </w:rPr>
              <w:t xml:space="preserve">Concluding Remarks at the End of the Volume</w:t>
            </w:r>
            <w:bookmarkEnd w:id="203"/>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000000"/>
                <w:sz w:val="19"/>
              </w:rPr>
              <w:t xml:space="preserve">The Commentary says: The Main Charter, in twelve volumes, from Article 1 to Article 145, one hundred and forty-five articles in all (including sub-articles), is here complete.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000000"/>
                <w:sz w:val="19"/>
              </w:rPr>
              <w:t xml:space="preserve">Surveying the whole book, its meaning may be summed up in one sentence: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A</w:t>
            </w:r>
            <w:r>
              <w:rPr>
                <w:rFonts w:ascii="DejaVu Serif" w:hAnsi="DejaVu Serif" w:eastAsia="Noto Sans CJK SC"/>
                <w:b/>
                <w:bCs/>
                <w:color w:val="000000"/>
                <w:sz w:val="19"/>
              </w:rPr>
              <w:t xml:space="preserve"> </w:t>
            </w:r>
            <w:r>
              <w:rPr>
                <w:rFonts w:ascii="DejaVu Serif" w:hAnsi="DejaVu Serif" w:eastAsia="Noto Sans CJK SC"/>
                <w:b/>
                <w:bCs/>
                <w:color w:val="000000"/>
                <w:sz w:val="19"/>
              </w:rPr>
              <w:t xml:space="preserve">“</w:t>
            </w:r>
            <w:r>
              <w:rPr>
                <w:rFonts w:ascii="DejaVu Serif" w:hAnsi="DejaVu Serif" w:eastAsia="Noto Sans CJK SC"/>
                <w:b/>
                <w:bCs/>
                <w:color w:val="000000"/>
                <w:sz w:val="19"/>
              </w:rPr>
              <w:t xml:space="preserve">sovereign individual</w:t>
            </w:r>
            <w:r>
              <w:rPr>
                <w:rFonts w:ascii="DejaVu Serif" w:hAnsi="DejaVu Serif" w:eastAsia="Noto Sans CJK SC"/>
                <w:b/>
                <w:bCs/>
                <w:color w:val="000000"/>
                <w:sz w:val="19"/>
              </w:rPr>
              <w:t xml:space="preserve">”</w:t>
            </w:r>
            <w:r>
              <w:rPr>
                <w:rFonts w:ascii="DejaVu Serif" w:hAnsi="DejaVu Serif" w:eastAsia="Noto Sans CJK SC"/>
                <w:b/>
                <w:bCs/>
                <w:color w:val="000000"/>
                <w:sz w:val="19"/>
              </w:rPr>
              <w:t xml:space="preserve"> </w:t>
            </w:r>
            <w:r>
              <w:rPr>
                <w:rFonts w:ascii="DejaVu Serif" w:hAnsi="DejaVu Serif" w:eastAsia="Noto Sans CJK SC"/>
                <w:b/>
                <w:bCs/>
                <w:color w:val="000000"/>
                <w:sz w:val="19"/>
              </w:rPr>
              <w:t xml:space="preserve">stands between heaven and earth, viewing the world through essentialist eyes, guarding himself by the measure of the minimum necessary, spurring himself with the expectancy of long-termism, treating others with a heart of altruism and win-win, taking law and morality as his baseline, and ultimately seeking the maximally feasible free life.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From Article 1, which establishes the purposes, through the ideal personality, the baseline of life, the assets of survival, the principles of action, the thinking models, the career and business, debt repayment, civil and political matters, intellectual property, marriage and family, growth and iteration, and finally to civilizational belief, the thread runs through and both the root and the branches are fully covered. This is the end of Part One.</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000000"/>
                <w:sz w:val="19"/>
              </w:rPr>
              <w:t xml:space="preserve">(End of Part One · The Main Charter)</w:t>
            </w:r>
          </w:p>
        </w:tc>
      </w:tr>
      <w:tr>
        <w:tc>
          <w:tcPr/>
          <w:p>
            <w:pPr>
              <w:pStyle w:val="Compact"/>
              <w:spacing w:after="40" w:line="288" w:lineRule="auto"/>
            </w:pPr>
          </w:p>
        </w:tc>
      </w:tr>
    </w:tbl>
    <w:p>
      <w:pPr>
        <w:spacing w:after="120" w:line="312" w:lineRule="auto"/>
      </w:pPr>
      <w:r>
        <w:rPr>
          <w:rFonts w:ascii="DejaVu Serif" w:hAnsi="DejaVu Serif" w:eastAsia="Noto Serif CJK SC"/>
          <w:color w:val="000000"/>
          <w:sz w:val="22"/>
        </w:rPr>
        <w:pict>
          <v:rect style="width:0;height:1.5pt" o:hralign="center" o:hrstd="t" o:hr="t"/>
        </w:pict>
      </w:r>
    </w:p>
    <w:bookmarkEnd w:id="204"/>
    <w:bookmarkEnd w:id="205"/>
    <w:sectPr>
      <w:footerReference w:type="default" r:id="rId9"/>
      <w:pgSz w:w="11906" w:h="16838"/>
      <w:pgMar w:top="1247" w:bottom="1247" w:left="1361" w:right="136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erif" w:hAnsi="DejaVu Serif" w:eastAsia="Noto Sans CJK SC"/>
        <w:color w:val="000000"/>
        <w:sz w:val="18"/>
      </w:rPr>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3">
    <w:nsid w:val="00A9941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36">
    <w:nsid w:val="00A9943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320">
    <w:nsid w:val="0A994320"/>
    <w:multiLevelType w:val="multilevel"/>
    <w:lvl w:ilvl="0">
      <w:start w:val="20"/>
      <w:numFmt w:val="decimal"/>
      <w:lvlText w:val="(%1)"/>
      <w:lvlJc w:val="left"/>
      <w:pPr>
        <w:ind w:left="720" w:hanging="480"/>
      </w:pPr>
    </w:lvl>
    <w:lvl w:ilvl="1">
      <w:start w:val="20"/>
      <w:numFmt w:val="decimal"/>
      <w:lvlText w:val="(%2)"/>
      <w:lvlJc w:val="left"/>
      <w:pPr>
        <w:ind w:left="1440" w:hanging="480"/>
      </w:pPr>
    </w:lvl>
    <w:lvl w:ilvl="2">
      <w:start w:val="20"/>
      <w:numFmt w:val="decimal"/>
      <w:lvlText w:val="(%3)"/>
      <w:lvlJc w:val="left"/>
      <w:pPr>
        <w:ind w:left="2160" w:hanging="480"/>
      </w:pPr>
    </w:lvl>
    <w:lvl w:ilvl="3">
      <w:start w:val="20"/>
      <w:numFmt w:val="decimal"/>
      <w:lvlText w:val="(%4)"/>
      <w:lvlJc w:val="left"/>
      <w:pPr>
        <w:ind w:left="2880" w:hanging="480"/>
      </w:pPr>
    </w:lvl>
    <w:lvl w:ilvl="4">
      <w:start w:val="20"/>
      <w:numFmt w:val="decimal"/>
      <w:lvlText w:val="(%5)"/>
      <w:lvlJc w:val="left"/>
      <w:pPr>
        <w:ind w:left="3600" w:hanging="480"/>
      </w:pPr>
    </w:lvl>
    <w:lvl w:ilvl="5">
      <w:start w:val="20"/>
      <w:numFmt w:val="decimal"/>
      <w:lvlText w:val="(%6)"/>
      <w:lvlJc w:val="left"/>
      <w:pPr>
        <w:ind w:left="4320" w:hanging="480"/>
      </w:pPr>
    </w:lvl>
    <w:lvl w:ilvl="6">
      <w:start w:val="20"/>
      <w:numFmt w:val="decimal"/>
      <w:lvlText w:val="(%7)"/>
      <w:lvlJc w:val="left"/>
      <w:pPr>
        <w:ind w:left="5040" w:hanging="480"/>
      </w:pPr>
    </w:lvl>
    <w:lvl w:ilvl="7">
      <w:start w:val="20"/>
      <w:numFmt w:val="decimal"/>
      <w:lvlText w:val="(%8)"/>
      <w:lvlJc w:val="left"/>
      <w:pPr>
        <w:ind w:left="5760" w:hanging="480"/>
      </w:pPr>
    </w:lvl>
    <w:lvl w:ilvl="8">
      <w:start w:val="20"/>
      <w:numFmt w:val="decimal"/>
      <w:lvlText w:val="(%9)"/>
      <w:lvlJc w:val="left"/>
      <w:pPr>
        <w:ind w:left="6480" w:hanging="480"/>
      </w:pPr>
    </w:lvl>
  </w:abstractNum>
  <w:abstractNum w:abstractNumId="99433">
    <w:nsid w:val="00A9943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24">
    <w:nsid w:val="00A9942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31">
    <w:nsid w:val="00A9943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324">
    <w:nsid w:val="0A994324"/>
    <w:multiLevelType w:val="multilevel"/>
    <w:lvl w:ilvl="0">
      <w:start w:val="24"/>
      <w:numFmt w:val="decimal"/>
      <w:lvlText w:val="(%1)"/>
      <w:lvlJc w:val="left"/>
      <w:pPr>
        <w:ind w:left="720" w:hanging="480"/>
      </w:pPr>
    </w:lvl>
    <w:lvl w:ilvl="1">
      <w:start w:val="24"/>
      <w:numFmt w:val="decimal"/>
      <w:lvlText w:val="(%2)"/>
      <w:lvlJc w:val="left"/>
      <w:pPr>
        <w:ind w:left="1440" w:hanging="480"/>
      </w:pPr>
    </w:lvl>
    <w:lvl w:ilvl="2">
      <w:start w:val="24"/>
      <w:numFmt w:val="decimal"/>
      <w:lvlText w:val="(%3)"/>
      <w:lvlJc w:val="left"/>
      <w:pPr>
        <w:ind w:left="2160" w:hanging="480"/>
      </w:pPr>
    </w:lvl>
    <w:lvl w:ilvl="3">
      <w:start w:val="24"/>
      <w:numFmt w:val="decimal"/>
      <w:lvlText w:val="(%4)"/>
      <w:lvlJc w:val="left"/>
      <w:pPr>
        <w:ind w:left="2880" w:hanging="480"/>
      </w:pPr>
    </w:lvl>
    <w:lvl w:ilvl="4">
      <w:start w:val="24"/>
      <w:numFmt w:val="decimal"/>
      <w:lvlText w:val="(%5)"/>
      <w:lvlJc w:val="left"/>
      <w:pPr>
        <w:ind w:left="3600" w:hanging="480"/>
      </w:pPr>
    </w:lvl>
    <w:lvl w:ilvl="5">
      <w:start w:val="24"/>
      <w:numFmt w:val="decimal"/>
      <w:lvlText w:val="(%6)"/>
      <w:lvlJc w:val="left"/>
      <w:pPr>
        <w:ind w:left="4320" w:hanging="480"/>
      </w:pPr>
    </w:lvl>
    <w:lvl w:ilvl="6">
      <w:start w:val="24"/>
      <w:numFmt w:val="decimal"/>
      <w:lvlText w:val="(%7)"/>
      <w:lvlJc w:val="left"/>
      <w:pPr>
        <w:ind w:left="5040" w:hanging="480"/>
      </w:pPr>
    </w:lvl>
    <w:lvl w:ilvl="7">
      <w:start w:val="24"/>
      <w:numFmt w:val="decimal"/>
      <w:lvlText w:val="(%8)"/>
      <w:lvlJc w:val="left"/>
      <w:pPr>
        <w:ind w:left="5760" w:hanging="480"/>
      </w:pPr>
    </w:lvl>
    <w:lvl w:ilvl="8">
      <w:start w:val="24"/>
      <w:numFmt w:val="decimal"/>
      <w:lvlText w:val="(%9)"/>
      <w:lvlJc w:val="left"/>
      <w:pPr>
        <w:ind w:left="6480" w:hanging="480"/>
      </w:pPr>
    </w:lvl>
  </w:abstractNum>
  <w:abstractNum w:abstractNumId="99435">
    <w:nsid w:val="00A9943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32">
    <w:nsid w:val="00A9943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333">
    <w:nsid w:val="0A994333"/>
    <w:multiLevelType w:val="multilevel"/>
    <w:lvl w:ilvl="0">
      <w:start w:val="33"/>
      <w:numFmt w:val="decimal"/>
      <w:lvlText w:val="(%1)"/>
      <w:lvlJc w:val="left"/>
      <w:pPr>
        <w:ind w:left="720" w:hanging="480"/>
      </w:pPr>
    </w:lvl>
    <w:lvl w:ilvl="1">
      <w:start w:val="33"/>
      <w:numFmt w:val="decimal"/>
      <w:lvlText w:val="(%2)"/>
      <w:lvlJc w:val="left"/>
      <w:pPr>
        <w:ind w:left="1440" w:hanging="480"/>
      </w:pPr>
    </w:lvl>
    <w:lvl w:ilvl="2">
      <w:start w:val="33"/>
      <w:numFmt w:val="decimal"/>
      <w:lvlText w:val="(%3)"/>
      <w:lvlJc w:val="left"/>
      <w:pPr>
        <w:ind w:left="2160" w:hanging="480"/>
      </w:pPr>
    </w:lvl>
    <w:lvl w:ilvl="3">
      <w:start w:val="33"/>
      <w:numFmt w:val="decimal"/>
      <w:lvlText w:val="(%4)"/>
      <w:lvlJc w:val="left"/>
      <w:pPr>
        <w:ind w:left="2880" w:hanging="480"/>
      </w:pPr>
    </w:lvl>
    <w:lvl w:ilvl="4">
      <w:start w:val="33"/>
      <w:numFmt w:val="decimal"/>
      <w:lvlText w:val="(%5)"/>
      <w:lvlJc w:val="left"/>
      <w:pPr>
        <w:ind w:left="3600" w:hanging="480"/>
      </w:pPr>
    </w:lvl>
    <w:lvl w:ilvl="5">
      <w:start w:val="33"/>
      <w:numFmt w:val="decimal"/>
      <w:lvlText w:val="(%6)"/>
      <w:lvlJc w:val="left"/>
      <w:pPr>
        <w:ind w:left="4320" w:hanging="480"/>
      </w:pPr>
    </w:lvl>
    <w:lvl w:ilvl="6">
      <w:start w:val="33"/>
      <w:numFmt w:val="decimal"/>
      <w:lvlText w:val="(%7)"/>
      <w:lvlJc w:val="left"/>
      <w:pPr>
        <w:ind w:left="5040" w:hanging="480"/>
      </w:pPr>
    </w:lvl>
    <w:lvl w:ilvl="7">
      <w:start w:val="33"/>
      <w:numFmt w:val="decimal"/>
      <w:lvlText w:val="(%8)"/>
      <w:lvlJc w:val="left"/>
      <w:pPr>
        <w:ind w:left="5760" w:hanging="480"/>
      </w:pPr>
    </w:lvl>
    <w:lvl w:ilvl="8">
      <w:start w:val="33"/>
      <w:numFmt w:val="decimal"/>
      <w:lvlText w:val="(%9)"/>
      <w:lvlJc w:val="left"/>
      <w:pPr>
        <w:ind w:left="6480" w:hanging="480"/>
      </w:pPr>
    </w:lvl>
  </w:abstractNum>
  <w:abstractNum w:abstractNumId="99437">
    <w:nsid w:val="00A9943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731">
    <w:nsid w:val="00A9973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34">
    <w:nsid w:val="00A9943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311">
    <w:nsid w:val="0A994311"/>
    <w:multiLevelType w:val="multilevel"/>
    <w:lvl w:ilvl="0">
      <w:start w:val="11"/>
      <w:numFmt w:val="decimal"/>
      <w:lvlText w:val="(%1)"/>
      <w:lvlJc w:val="left"/>
      <w:pPr>
        <w:ind w:left="720" w:hanging="480"/>
      </w:pPr>
    </w:lvl>
    <w:lvl w:ilvl="1">
      <w:start w:val="11"/>
      <w:numFmt w:val="decimal"/>
      <w:lvlText w:val="(%2)"/>
      <w:lvlJc w:val="left"/>
      <w:pPr>
        <w:ind w:left="1440" w:hanging="480"/>
      </w:pPr>
    </w:lvl>
    <w:lvl w:ilvl="2">
      <w:start w:val="11"/>
      <w:numFmt w:val="decimal"/>
      <w:lvlText w:val="(%3)"/>
      <w:lvlJc w:val="left"/>
      <w:pPr>
        <w:ind w:left="2160" w:hanging="480"/>
      </w:pPr>
    </w:lvl>
    <w:lvl w:ilvl="3">
      <w:start w:val="11"/>
      <w:numFmt w:val="decimal"/>
      <w:lvlText w:val="(%4)"/>
      <w:lvlJc w:val="left"/>
      <w:pPr>
        <w:ind w:left="2880" w:hanging="480"/>
      </w:pPr>
    </w:lvl>
    <w:lvl w:ilvl="4">
      <w:start w:val="11"/>
      <w:numFmt w:val="decimal"/>
      <w:lvlText w:val="(%5)"/>
      <w:lvlJc w:val="left"/>
      <w:pPr>
        <w:ind w:left="3600" w:hanging="480"/>
      </w:pPr>
    </w:lvl>
    <w:lvl w:ilvl="5">
      <w:start w:val="11"/>
      <w:numFmt w:val="decimal"/>
      <w:lvlText w:val="(%6)"/>
      <w:lvlJc w:val="left"/>
      <w:pPr>
        <w:ind w:left="4320" w:hanging="480"/>
      </w:pPr>
    </w:lvl>
    <w:lvl w:ilvl="6">
      <w:start w:val="11"/>
      <w:numFmt w:val="decimal"/>
      <w:lvlText w:val="(%7)"/>
      <w:lvlJc w:val="left"/>
      <w:pPr>
        <w:ind w:left="5040" w:hanging="480"/>
      </w:pPr>
    </w:lvl>
    <w:lvl w:ilvl="7">
      <w:start w:val="11"/>
      <w:numFmt w:val="decimal"/>
      <w:lvlText w:val="(%8)"/>
      <w:lvlJc w:val="left"/>
      <w:pPr>
        <w:ind w:left="5760" w:hanging="480"/>
      </w:pPr>
    </w:lvl>
    <w:lvl w:ilvl="8">
      <w:start w:val="11"/>
      <w:numFmt w:val="decimal"/>
      <w:lvlText w:val="(%9)"/>
      <w:lvlJc w:val="left"/>
      <w:pPr>
        <w:ind w:left="6480" w:hanging="480"/>
      </w:pPr>
    </w:lvl>
  </w:abstractNum>
  <w:abstractNum w:abstractNumId="99438">
    <w:nsid w:val="00A9943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5">
    <w:abstractNumId w:val="9943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6">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4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3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12">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4">
    <w:abstractNumId w:val="9943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15">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9">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20">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2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2026-09-26T02:35:56Z</dcterms:created>
  <dcterms:modified xsi:type="dcterms:W3CDTF">2026-09-26T02:35:56Z</dcterms:modified>
</cp:coreProperties>
</file>

<file path=docProps/custom.xml><?xml version="1.0" encoding="utf-8"?>
<Properties xmlns="http://schemas.openxmlformats.org/officeDocument/2006/custom-properties" xmlns:vt="http://schemas.openxmlformats.org/officeDocument/2006/docPropsVTypes"/>
</file>