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4999C8FB">
      <w:pPr>
        <w:pStyle w:val="style4101"/>
        <w:spacing w:lineRule="auto" w:line="240"/>
        <w:rPr>
          <w:rFonts w:eastAsia="汉仪书宋二简" w:hAnsi="汉仪书宋二简"/>
          <w:sz w:val="44"/>
          <w:szCs w:val="44"/>
        </w:rPr>
      </w:pPr>
      <w:bookmarkStart w:id="0" w:name="附件-h.01.001"/>
      <w:r>
        <w:rPr>
          <w:rFonts w:eastAsia="汉仪书宋二简" w:hAnsi="汉仪书宋二简"/>
          <w:color w:val="36363d"/>
          <w:sz w:val="72"/>
          <w:szCs w:val="72"/>
        </w:rPr>
        <w:t>附件 H.01.001</w:t>
      </w:r>
      <w:bookmarkStart w:id="1" w:name="人生行动宪章阐释函第一号"/>
      <w:bookmarkEnd w:id="0"/>
    </w:p>
    <w:p w14:paraId="986BC31B">
      <w:pPr>
        <w:pStyle w:val="style4101"/>
        <w:spacing w:lineRule="auto" w:line="240"/>
        <w:jc w:val="center"/>
        <w:rPr>
          <w:rFonts w:eastAsia="汉仪书宋二简" w:hAnsi="汉仪书宋二简"/>
          <w:color w:val="36363d"/>
          <w:sz w:val="72"/>
          <w:szCs w:val="72"/>
        </w:rPr>
      </w:pPr>
      <w:r>
        <w:rPr>
          <w:color w:val="36363d"/>
          <w:sz w:val="72"/>
          <w:szCs w:val="72"/>
        </w:rPr>
        <w:t>《</w:t>
      </w:r>
      <w:r>
        <w:rPr>
          <w:rFonts w:eastAsia="汉仪书宋二简" w:hAnsi="汉仪书宋二简"/>
          <w:color w:val="36363d"/>
          <w:sz w:val="72"/>
          <w:szCs w:val="72"/>
        </w:rPr>
        <w:t>人生行动宪章</w:t>
      </w:r>
      <w:r>
        <w:rPr>
          <w:color w:val="36363d"/>
          <w:sz w:val="72"/>
          <w:szCs w:val="72"/>
        </w:rPr>
        <w:t>》</w:t>
      </w:r>
      <w:r>
        <w:rPr>
          <w:rFonts w:eastAsia="汉仪书宋二简" w:hAnsi="汉仪书宋二简"/>
          <w:color w:val="36363d"/>
          <w:sz w:val="72"/>
          <w:szCs w:val="72"/>
        </w:rPr>
        <w:t>阐释函</w:t>
      </w:r>
    </w:p>
    <w:p w14:paraId="45A9F9C5">
      <w:pPr>
        <w:pStyle w:val="style4101"/>
        <w:spacing w:lineRule="auto" w:line="240"/>
        <w:jc w:val="center"/>
        <w:rPr>
          <w:rFonts w:eastAsia="汉仪书宋二简"/>
          <w:color w:val="36363d"/>
          <w:sz w:val="44"/>
          <w:szCs w:val="44"/>
        </w:rPr>
      </w:pPr>
      <w:r>
        <w:rPr>
          <w:color w:val="36363d"/>
          <w:sz w:val="72"/>
          <w:szCs w:val="72"/>
        </w:rPr>
        <w:t>（</w:t>
      </w:r>
      <w:r>
        <w:rPr>
          <w:rFonts w:eastAsia="汉仪书宋二简" w:hAnsi="汉仪书宋二简"/>
          <w:color w:val="36363d"/>
          <w:sz w:val="72"/>
          <w:szCs w:val="72"/>
          <w:lang w:val="en-US"/>
        </w:rPr>
        <w:t>2026</w:t>
      </w:r>
      <w:r>
        <w:rPr>
          <w:rFonts w:hint="eastAsia"/>
          <w:color w:val="36363d"/>
          <w:sz w:val="72"/>
          <w:szCs w:val="72"/>
          <w:lang w:val="en-US" w:eastAsia="zh-CN"/>
        </w:rPr>
        <w:t>•</w:t>
      </w:r>
      <w:r>
        <w:rPr>
          <w:rFonts w:eastAsia="汉仪书宋二简" w:hAnsi="汉仪书宋二简"/>
          <w:color w:val="36363d"/>
          <w:sz w:val="72"/>
          <w:szCs w:val="72"/>
        </w:rPr>
        <w:t>第</w:t>
      </w:r>
      <w:r>
        <w:rPr>
          <w:rFonts w:eastAsia="汉仪书宋二简" w:hAnsi="汉仪书宋二简"/>
          <w:color w:val="36363d"/>
          <w:sz w:val="72"/>
          <w:szCs w:val="72"/>
          <w:lang w:val="en-US"/>
        </w:rPr>
        <w:t>1</w:t>
      </w:r>
      <w:r>
        <w:rPr>
          <w:rFonts w:eastAsia="汉仪书宋二简" w:hAnsi="汉仪书宋二简"/>
          <w:color w:val="36363d"/>
          <w:sz w:val="72"/>
          <w:szCs w:val="72"/>
        </w:rPr>
        <w:t>号</w:t>
      </w:r>
      <w:r>
        <w:rPr>
          <w:color w:val="36363d"/>
          <w:sz w:val="72"/>
          <w:szCs w:val="72"/>
        </w:rPr>
        <w:t>）</w:t>
      </w:r>
      <w:bookmarkEnd w:id="1"/>
    </w:p>
    <w:p w14:paraId="0D738EA5">
      <w:pPr>
        <w:pStyle w:val="style4097"/>
        <w:spacing w:lineRule="auto" w:line="240"/>
        <w:rPr>
          <w:rFonts w:eastAsia="汉仪书宋二简" w:hAnsi="汉仪书宋二简"/>
          <w:color w:val="36363d"/>
          <w:sz w:val="36"/>
          <w:szCs w:val="36"/>
        </w:rPr>
      </w:pPr>
      <w:r>
        <w:rPr>
          <w:rFonts w:eastAsia="汉仪书宋二简"/>
          <w:b/>
          <w:color w:val="36363d"/>
          <w:sz w:val="36"/>
          <w:szCs w:val="36"/>
        </w:rPr>
        <w:t>文件编号</w:t>
      </w:r>
      <w:r>
        <w:rPr>
          <w:b/>
          <w:color w:val="36363d"/>
          <w:sz w:val="36"/>
          <w:szCs w:val="36"/>
        </w:rPr>
        <w:t>：</w:t>
      </w:r>
      <w:r>
        <w:rPr>
          <w:rFonts w:eastAsia="汉仪书宋二简" w:hAnsi="汉仪书宋二简"/>
          <w:color w:val="36363d"/>
          <w:sz w:val="36"/>
          <w:szCs w:val="36"/>
        </w:rPr>
        <w:t xml:space="preserve"> H.01.001</w:t>
      </w:r>
    </w:p>
    <w:p w14:paraId="724ECBB2">
      <w:pPr>
        <w:pStyle w:val="style66"/>
        <w:spacing w:lineRule="auto" w:line="240"/>
        <w:rPr>
          <w:rFonts w:eastAsia="汉仪书宋二简" w:hAnsi="汉仪书宋二简"/>
          <w:color w:val="36363d"/>
          <w:sz w:val="36"/>
          <w:szCs w:val="36"/>
        </w:rPr>
      </w:pPr>
      <w:r>
        <w:rPr>
          <w:rFonts w:eastAsia="汉仪书宋二简" w:hAnsi="汉仪书宋二简"/>
          <w:b/>
          <w:color w:val="36363d"/>
          <w:sz w:val="36"/>
          <w:szCs w:val="36"/>
        </w:rPr>
        <w:t>文件名称</w:t>
      </w:r>
      <w:r>
        <w:rPr>
          <w:b/>
          <w:color w:val="36363d"/>
          <w:sz w:val="36"/>
          <w:szCs w:val="36"/>
        </w:rPr>
        <w:t>：</w:t>
      </w:r>
      <w:r>
        <w:rPr>
          <w:rFonts w:eastAsia="汉仪书宋二简" w:hAnsi="汉仪书宋二简"/>
          <w:color w:val="36363d"/>
          <w:sz w:val="36"/>
          <w:szCs w:val="36"/>
        </w:rPr>
        <w:t xml:space="preserve"> 关于主宪章第十二条及第十三条</w:t>
      </w:r>
      <w:r>
        <w:rPr>
          <w:color w:val="36363d"/>
          <w:sz w:val="36"/>
          <w:szCs w:val="36"/>
        </w:rPr>
        <w:t>“</w:t>
      </w:r>
      <w:r>
        <w:rPr>
          <w:rFonts w:eastAsia="汉仪书宋二简" w:hAnsi="汉仪书宋二简"/>
          <w:color w:val="36363d"/>
          <w:sz w:val="36"/>
          <w:szCs w:val="36"/>
        </w:rPr>
        <w:t>七年以上有期徒刑</w:t>
      </w:r>
      <w:r>
        <w:rPr>
          <w:color w:val="36363d"/>
          <w:sz w:val="36"/>
          <w:szCs w:val="36"/>
        </w:rPr>
        <w:t>”</w:t>
      </w:r>
      <w:r>
        <w:rPr>
          <w:rFonts w:eastAsia="汉仪书宋二简" w:hAnsi="汉仪书宋二简"/>
          <w:color w:val="36363d"/>
          <w:sz w:val="36"/>
          <w:szCs w:val="36"/>
        </w:rPr>
        <w:t>等刑罚表述之权威性阐释</w:t>
      </w:r>
    </w:p>
    <w:p w14:paraId="19A18872">
      <w:pPr>
        <w:pStyle w:val="style66"/>
        <w:spacing w:lineRule="auto" w:line="240"/>
        <w:rPr>
          <w:rFonts w:eastAsia="汉仪书宋二简" w:hAnsi="汉仪书宋二简"/>
          <w:color w:val="36363d"/>
          <w:sz w:val="36"/>
          <w:szCs w:val="36"/>
        </w:rPr>
      </w:pPr>
      <w:r>
        <w:rPr>
          <w:rFonts w:eastAsia="汉仪书宋二简" w:hAnsi="汉仪书宋二简"/>
          <w:b/>
          <w:color w:val="36363d"/>
          <w:sz w:val="36"/>
          <w:szCs w:val="36"/>
        </w:rPr>
        <w:t>文件性质</w:t>
      </w:r>
      <w:r>
        <w:rPr>
          <w:b/>
          <w:color w:val="36363d"/>
          <w:sz w:val="36"/>
          <w:szCs w:val="36"/>
        </w:rPr>
        <w:t>：</w:t>
      </w:r>
      <w:r>
        <w:rPr>
          <w:rFonts w:eastAsia="汉仪书宋二简" w:hAnsi="汉仪书宋二简"/>
          <w:color w:val="36363d"/>
          <w:sz w:val="36"/>
          <w:szCs w:val="36"/>
        </w:rPr>
        <w:t xml:space="preserve"> 阐释函</w:t>
      </w:r>
      <w:r>
        <w:rPr>
          <w:color w:val="36363d"/>
          <w:sz w:val="36"/>
          <w:szCs w:val="36"/>
        </w:rPr>
        <w:t>（</w:t>
      </w:r>
      <w:r>
        <w:rPr>
          <w:rFonts w:eastAsia="汉仪书宋二简" w:hAnsi="汉仪书宋二简"/>
          <w:color w:val="36363d"/>
          <w:sz w:val="36"/>
          <w:szCs w:val="36"/>
        </w:rPr>
        <w:t>附件</w:t>
      </w:r>
      <w:r>
        <w:rPr>
          <w:color w:val="36363d"/>
          <w:sz w:val="36"/>
          <w:szCs w:val="36"/>
        </w:rPr>
        <w:t>，</w:t>
      </w:r>
      <w:r>
        <w:rPr>
          <w:rFonts w:eastAsia="汉仪书宋二简" w:hAnsi="汉仪书宋二简"/>
          <w:color w:val="36363d"/>
          <w:sz w:val="36"/>
          <w:szCs w:val="36"/>
        </w:rPr>
        <w:t>具有正式效力</w:t>
      </w:r>
      <w:r>
        <w:rPr>
          <w:color w:val="36363d"/>
          <w:sz w:val="36"/>
          <w:szCs w:val="36"/>
        </w:rPr>
        <w:t>）</w:t>
      </w:r>
    </w:p>
    <w:p w14:paraId="F6EF9600">
      <w:pPr>
        <w:pStyle w:val="style66"/>
        <w:spacing w:lineRule="auto" w:line="240"/>
        <w:rPr>
          <w:rFonts w:eastAsia="汉仪书宋二简" w:hAnsi="汉仪书宋二简"/>
          <w:color w:val="36363d"/>
          <w:sz w:val="36"/>
          <w:szCs w:val="36"/>
        </w:rPr>
      </w:pPr>
      <w:r>
        <w:rPr>
          <w:rFonts w:eastAsia="汉仪书宋二简" w:hAnsi="汉仪书宋二简"/>
          <w:b/>
          <w:color w:val="36363d"/>
          <w:sz w:val="36"/>
          <w:szCs w:val="36"/>
        </w:rPr>
        <w:t>发文主体</w:t>
      </w:r>
      <w:r>
        <w:rPr>
          <w:b/>
          <w:color w:val="36363d"/>
          <w:sz w:val="36"/>
          <w:szCs w:val="36"/>
        </w:rPr>
        <w:t>：</w:t>
      </w:r>
      <w:r>
        <w:rPr>
          <w:rFonts w:eastAsia="汉仪书宋二简" w:hAnsi="汉仪书宋二简"/>
          <w:color w:val="36363d"/>
          <w:sz w:val="36"/>
          <w:szCs w:val="36"/>
        </w:rPr>
        <w:t xml:space="preserve"> 宪章制定行为人</w:t>
      </w:r>
    </w:p>
    <w:p w14:paraId="FB9FFFEB">
      <w:pPr>
        <w:pStyle w:val="style66"/>
        <w:spacing w:lineRule="auto" w:line="240"/>
        <w:rPr>
          <w:rFonts w:eastAsia="汉仪书宋二简" w:hAnsi="汉仪书宋二简"/>
          <w:color w:val="36363d"/>
          <w:sz w:val="36"/>
          <w:szCs w:val="36"/>
        </w:rPr>
      </w:pPr>
      <w:r>
        <w:rPr>
          <w:rFonts w:eastAsia="汉仪书宋二简" w:hAnsi="汉仪书宋二简"/>
          <w:b/>
          <w:color w:val="36363d"/>
          <w:sz w:val="36"/>
          <w:szCs w:val="36"/>
        </w:rPr>
        <w:t>生效日期</w:t>
      </w:r>
      <w:r>
        <w:rPr>
          <w:b/>
          <w:color w:val="36363d"/>
          <w:sz w:val="36"/>
          <w:szCs w:val="36"/>
        </w:rPr>
        <w:t>：</w:t>
      </w:r>
      <w:r>
        <w:rPr>
          <w:rFonts w:eastAsia="汉仪书宋二简" w:hAnsi="汉仪书宋二简"/>
          <w:color w:val="36363d"/>
          <w:sz w:val="36"/>
          <w:szCs w:val="36"/>
        </w:rPr>
        <w:t xml:space="preserve"> 2026年8月12日</w:t>
      </w:r>
    </w:p>
    <w:p w14:paraId="B1F10E26">
      <w:pPr>
        <w:pStyle w:val="style66"/>
        <w:spacing w:lineRule="auto" w:line="240"/>
        <w:rPr>
          <w:rFonts w:eastAsia="汉仪书宋二简"/>
          <w:color w:val="36363d"/>
          <w:sz w:val="36"/>
          <w:szCs w:val="36"/>
        </w:rPr>
      </w:pPr>
      <w:r>
        <w:rPr>
          <w:rFonts w:eastAsia="汉仪书宋二简" w:hAnsi="汉仪书宋二简"/>
          <w:b/>
          <w:color w:val="36363d"/>
          <w:sz w:val="36"/>
          <w:szCs w:val="36"/>
        </w:rPr>
        <w:t>溯及效力</w:t>
      </w:r>
      <w:r>
        <w:rPr>
          <w:b/>
          <w:color w:val="36363d"/>
          <w:sz w:val="36"/>
          <w:szCs w:val="36"/>
        </w:rPr>
        <w:t>：</w:t>
      </w:r>
      <w:r>
        <w:rPr>
          <w:rFonts w:eastAsia="汉仪书宋二简"/>
          <w:color w:val="36363d"/>
          <w:sz w:val="36"/>
          <w:szCs w:val="36"/>
        </w:rPr>
        <w:t xml:space="preserve"> 自本宪章主宪章生效之日起溯及适用</w:t>
      </w:r>
    </w:p>
    <w:bookmarkStart w:id="2" w:name="一阐释事由"/>
    <w:p w14:paraId="51891EA0">
      <w:pPr>
        <w:pStyle w:val="style4102"/>
        <w:spacing w:lineRule="auto" w:line="240"/>
        <w:rPr>
          <w:rFonts w:eastAsia="汉仪书宋二简"/>
          <w:color w:val="36363d"/>
          <w:sz w:val="44"/>
          <w:szCs w:val="44"/>
        </w:rPr>
      </w:pPr>
    </w:p>
    <w:p w14:paraId="F5ECCA28">
      <w:pPr>
        <w:pStyle w:val="style4102"/>
        <w:spacing w:lineRule="auto" w:line="240"/>
        <w:rPr>
          <w:rFonts w:eastAsia="汉仪书宋二简"/>
          <w:color w:val="36363d"/>
          <w:sz w:val="44"/>
          <w:szCs w:val="44"/>
        </w:rPr>
      </w:pPr>
      <w:r>
        <w:rPr>
          <w:rFonts w:eastAsia="汉仪书宋二简"/>
          <w:color w:val="36363d"/>
          <w:sz w:val="44"/>
          <w:szCs w:val="44"/>
        </w:rPr>
        <w:t>一</w:t>
      </w:r>
      <w:r>
        <w:rPr>
          <w:color w:val="36363d"/>
          <w:sz w:val="44"/>
          <w:szCs w:val="44"/>
        </w:rPr>
        <w:t>、</w:t>
      </w:r>
      <w:r>
        <w:rPr>
          <w:rFonts w:eastAsia="汉仪书宋二简"/>
          <w:color w:val="36363d"/>
          <w:sz w:val="44"/>
          <w:szCs w:val="44"/>
        </w:rPr>
        <w:t>阐释事由</w:t>
      </w:r>
      <w:bookmarkEnd w:id="2"/>
    </w:p>
    <w:p w14:paraId="6C083796">
      <w:pPr>
        <w:pStyle w:val="style4097"/>
        <w:spacing w:lineRule="auto" w:line="240"/>
        <w:rPr>
          <w:rFonts w:eastAsia="汉仪书宋二简" w:hAnsi="汉仪书宋二简"/>
          <w:color w:val="36363d"/>
          <w:sz w:val="36"/>
          <w:szCs w:val="36"/>
        </w:rPr>
      </w:pPr>
      <w:r>
        <w:rPr>
          <w:rFonts w:eastAsia="汉仪书宋二简"/>
          <w:color w:val="36363d"/>
          <w:sz w:val="36"/>
          <w:szCs w:val="36"/>
        </w:rPr>
        <w:t>主宪章第十二条</w:t>
      </w:r>
      <w:r>
        <w:rPr>
          <w:color w:val="36363d"/>
          <w:sz w:val="36"/>
          <w:szCs w:val="36"/>
        </w:rPr>
        <w:t>【</w:t>
      </w:r>
      <w:r>
        <w:rPr>
          <w:rFonts w:eastAsia="汉仪书宋二简" w:hAnsi="汉仪书宋二简"/>
          <w:color w:val="36363d"/>
          <w:sz w:val="36"/>
          <w:szCs w:val="36"/>
        </w:rPr>
        <w:t>人生绝对性人生底线宣示</w:t>
      </w:r>
      <w:r>
        <w:rPr>
          <w:color w:val="36363d"/>
          <w:sz w:val="36"/>
          <w:szCs w:val="36"/>
        </w:rPr>
        <w:t>】</w:t>
      </w:r>
      <w:r>
        <w:rPr>
          <w:rFonts w:eastAsia="汉仪书宋二简" w:hAnsi="汉仪书宋二简"/>
          <w:color w:val="36363d"/>
          <w:sz w:val="36"/>
          <w:szCs w:val="36"/>
        </w:rPr>
        <w:t>规定</w:t>
      </w:r>
      <w:r>
        <w:rPr>
          <w:color w:val="36363d"/>
          <w:sz w:val="36"/>
          <w:szCs w:val="36"/>
        </w:rPr>
        <w:t>：</w:t>
      </w:r>
    </w:p>
    <w:p w14:paraId="EFDF2920">
      <w:pPr>
        <w:pStyle w:val="style84"/>
        <w:spacing w:lineRule="auto" w:line="240"/>
        <w:rPr>
          <w:rFonts w:eastAsia="汉仪书宋二简"/>
          <w:color w:val="36363d"/>
          <w:sz w:val="24"/>
          <w:szCs w:val="24"/>
        </w:rPr>
      </w:pPr>
      <w:r>
        <w:rPr>
          <w:color w:val="36363d"/>
          <w:sz w:val="24"/>
          <w:szCs w:val="24"/>
        </w:rPr>
        <w:t>“</w:t>
      </w:r>
      <w:r>
        <w:rPr>
          <w:rFonts w:eastAsia="汉仪书宋二简" w:hAnsi="汉仪书宋二简"/>
          <w:color w:val="36363d"/>
          <w:sz w:val="24"/>
          <w:szCs w:val="24"/>
        </w:rPr>
        <w:t>在任何情况下</w:t>
      </w:r>
      <w:r>
        <w:rPr>
          <w:color w:val="36363d"/>
          <w:sz w:val="24"/>
          <w:szCs w:val="24"/>
        </w:rPr>
        <w:t>，</w:t>
      </w:r>
      <w:r>
        <w:rPr>
          <w:rFonts w:eastAsia="汉仪书宋二简" w:hAnsi="汉仪书宋二简"/>
          <w:color w:val="36363d"/>
          <w:sz w:val="24"/>
          <w:szCs w:val="24"/>
        </w:rPr>
        <w:t>不得使自身行为确实违反刑法及其司法解释之七年以上有期徒刑</w:t>
      </w:r>
      <w:r>
        <w:rPr>
          <w:color w:val="36363d"/>
          <w:sz w:val="24"/>
          <w:szCs w:val="24"/>
        </w:rPr>
        <w:t>（</w:t>
      </w:r>
      <w:r>
        <w:rPr>
          <w:rFonts w:eastAsia="汉仪书宋二简" w:hAnsi="汉仪书宋二简"/>
          <w:color w:val="36363d"/>
          <w:sz w:val="24"/>
          <w:szCs w:val="24"/>
        </w:rPr>
        <w:t>剥夺政治权利终身</w:t>
      </w:r>
      <w:r>
        <w:rPr>
          <w:color w:val="36363d"/>
          <w:sz w:val="24"/>
          <w:szCs w:val="24"/>
        </w:rPr>
        <w:t>）</w:t>
      </w:r>
      <w:r>
        <w:rPr>
          <w:rFonts w:eastAsia="汉仪书宋二简" w:hAnsi="汉仪书宋二简"/>
          <w:color w:val="36363d"/>
          <w:sz w:val="24"/>
          <w:szCs w:val="24"/>
        </w:rPr>
        <w:t>之程度</w:t>
      </w:r>
      <w:r>
        <w:rPr>
          <w:color w:val="36363d"/>
          <w:sz w:val="24"/>
          <w:szCs w:val="24"/>
        </w:rPr>
        <w:t>（</w:t>
      </w:r>
      <w:r>
        <w:rPr>
          <w:rFonts w:eastAsia="汉仪书宋二简" w:hAnsi="汉仪书宋二简"/>
          <w:color w:val="36363d"/>
          <w:sz w:val="24"/>
          <w:szCs w:val="24"/>
        </w:rPr>
        <w:t>构成犯罪并判处七年及以上有期徒刑</w:t>
      </w:r>
      <w:r>
        <w:rPr>
          <w:color w:val="36363d"/>
          <w:sz w:val="24"/>
          <w:szCs w:val="24"/>
        </w:rPr>
        <w:t>），</w:t>
      </w:r>
      <w:r>
        <w:rPr>
          <w:rFonts w:eastAsia="汉仪书宋二简" w:hAnsi="汉仪书宋二简"/>
          <w:color w:val="36363d"/>
          <w:sz w:val="24"/>
          <w:szCs w:val="24"/>
        </w:rPr>
        <w:t>或超逾以上限度</w:t>
      </w:r>
      <w:r>
        <w:rPr>
          <w:color w:val="36363d"/>
          <w:sz w:val="24"/>
          <w:szCs w:val="24"/>
        </w:rPr>
        <w:t>。”</w:t>
      </w:r>
    </w:p>
    <w:p w14:paraId="5C2D5142">
      <w:pPr>
        <w:pStyle w:val="style4097"/>
        <w:spacing w:lineRule="auto" w:line="240"/>
        <w:rPr>
          <w:rFonts w:eastAsia="汉仪书宋二简" w:hAnsi="汉仪书宋二简"/>
          <w:color w:val="36363d"/>
          <w:sz w:val="36"/>
          <w:szCs w:val="36"/>
        </w:rPr>
      </w:pPr>
      <w:r>
        <w:rPr>
          <w:rFonts w:eastAsia="汉仪书宋二简"/>
          <w:color w:val="36363d"/>
          <w:sz w:val="36"/>
          <w:szCs w:val="36"/>
        </w:rPr>
        <w:t>主宪章第十三条</w:t>
      </w:r>
      <w:r>
        <w:rPr>
          <w:color w:val="36363d"/>
          <w:sz w:val="36"/>
          <w:szCs w:val="36"/>
        </w:rPr>
        <w:t>【</w:t>
      </w:r>
      <w:r>
        <w:rPr>
          <w:rFonts w:eastAsia="汉仪书宋二简" w:hAnsi="汉仪书宋二简"/>
          <w:color w:val="36363d"/>
          <w:sz w:val="36"/>
          <w:szCs w:val="36"/>
        </w:rPr>
        <w:t>人生绝对性人生底线宣示补充说明</w:t>
      </w:r>
      <w:r>
        <w:rPr>
          <w:color w:val="36363d"/>
          <w:sz w:val="36"/>
          <w:szCs w:val="36"/>
        </w:rPr>
        <w:t>】</w:t>
      </w:r>
      <w:r>
        <w:rPr>
          <w:rFonts w:eastAsia="汉仪书宋二简" w:hAnsi="汉仪书宋二简"/>
          <w:color w:val="36363d"/>
          <w:sz w:val="36"/>
          <w:szCs w:val="36"/>
        </w:rPr>
        <w:t>进一步规定</w:t>
      </w:r>
      <w:r>
        <w:rPr>
          <w:color w:val="36363d"/>
          <w:sz w:val="36"/>
          <w:szCs w:val="36"/>
        </w:rPr>
        <w:t>：</w:t>
      </w:r>
    </w:p>
    <w:p w14:paraId="8B4F77E0">
      <w:pPr>
        <w:pStyle w:val="style84"/>
        <w:spacing w:lineRule="auto" w:line="240"/>
        <w:rPr>
          <w:rFonts w:eastAsia="汉仪书宋二简"/>
          <w:color w:val="36363d"/>
          <w:sz w:val="24"/>
          <w:szCs w:val="24"/>
        </w:rPr>
      </w:pPr>
      <w:r>
        <w:rPr>
          <w:color w:val="36363d"/>
          <w:sz w:val="24"/>
          <w:szCs w:val="24"/>
        </w:rPr>
        <w:t>“</w:t>
      </w:r>
      <w:r>
        <w:rPr>
          <w:rFonts w:eastAsia="汉仪书宋二简" w:hAnsi="汉仪书宋二简"/>
          <w:color w:val="36363d"/>
          <w:sz w:val="24"/>
          <w:szCs w:val="24"/>
        </w:rPr>
        <w:t>本人的绝对底线就是原则上不亲自违反</w:t>
      </w:r>
      <w:r>
        <w:rPr>
          <w:color w:val="36363d"/>
          <w:sz w:val="24"/>
          <w:szCs w:val="24"/>
        </w:rPr>
        <w:t>【</w:t>
      </w:r>
      <w:r>
        <w:rPr>
          <w:rFonts w:eastAsia="汉仪书宋二简" w:hAnsi="汉仪书宋二简"/>
          <w:color w:val="36363d"/>
          <w:sz w:val="24"/>
          <w:szCs w:val="24"/>
        </w:rPr>
        <w:t>必要时可与他人商议由其代理实施</w:t>
      </w:r>
      <w:r>
        <w:rPr>
          <w:color w:val="36363d"/>
          <w:sz w:val="24"/>
          <w:szCs w:val="24"/>
        </w:rPr>
        <w:t>】</w:t>
      </w:r>
      <w:r>
        <w:rPr>
          <w:rFonts w:eastAsia="汉仪书宋二简" w:hAnsi="汉仪书宋二简"/>
          <w:color w:val="36363d"/>
          <w:sz w:val="24"/>
          <w:szCs w:val="24"/>
        </w:rPr>
        <w:t>行为发生时所适用之</w:t>
      </w:r>
      <w:r>
        <w:rPr>
          <w:color w:val="36363d"/>
          <w:sz w:val="24"/>
          <w:szCs w:val="24"/>
        </w:rPr>
        <w:t>：</w:t>
      </w:r>
      <w:r>
        <w:rPr>
          <w:rFonts w:eastAsia="汉仪书宋二简" w:hAnsi="汉仪书宋二简"/>
          <w:color w:val="36363d"/>
          <w:sz w:val="24"/>
          <w:szCs w:val="24"/>
        </w:rPr>
        <w:t>第1项 单罪七年以上</w:t>
      </w:r>
      <w:r>
        <w:rPr>
          <w:color w:val="36363d"/>
          <w:sz w:val="24"/>
          <w:szCs w:val="24"/>
        </w:rPr>
        <w:t>（</w:t>
      </w:r>
      <w:r>
        <w:rPr>
          <w:rFonts w:eastAsia="汉仪书宋二简" w:hAnsi="汉仪书宋二简"/>
          <w:color w:val="36363d"/>
          <w:sz w:val="24"/>
          <w:szCs w:val="24"/>
        </w:rPr>
        <w:t>不含本数</w:t>
      </w:r>
      <w:r>
        <w:rPr>
          <w:color w:val="36363d"/>
          <w:sz w:val="24"/>
          <w:szCs w:val="24"/>
        </w:rPr>
        <w:t>）</w:t>
      </w:r>
      <w:r>
        <w:rPr>
          <w:rFonts w:eastAsia="汉仪书宋二简" w:hAnsi="汉仪书宋二简"/>
          <w:color w:val="36363d"/>
          <w:sz w:val="24"/>
          <w:szCs w:val="24"/>
        </w:rPr>
        <w:t>有期徒刑</w:t>
      </w:r>
      <w:r>
        <w:rPr>
          <w:color w:val="36363d"/>
          <w:sz w:val="24"/>
          <w:szCs w:val="24"/>
        </w:rPr>
        <w:t>；</w:t>
      </w:r>
      <w:r>
        <w:rPr>
          <w:rFonts w:eastAsia="汉仪书宋二简" w:hAnsi="汉仪书宋二简"/>
          <w:color w:val="36363d"/>
          <w:sz w:val="24"/>
          <w:szCs w:val="24"/>
        </w:rPr>
        <w:t>第2项 数罪并罚中累计达二十年</w:t>
      </w:r>
      <w:r>
        <w:rPr>
          <w:color w:val="36363d"/>
          <w:sz w:val="24"/>
          <w:szCs w:val="24"/>
        </w:rPr>
        <w:t>（</w:t>
      </w:r>
      <w:r>
        <w:rPr>
          <w:rFonts w:eastAsia="汉仪书宋二简" w:hAnsi="汉仪书宋二简"/>
          <w:color w:val="36363d"/>
          <w:sz w:val="24"/>
          <w:szCs w:val="24"/>
        </w:rPr>
        <w:t>含本数字</w:t>
      </w:r>
      <w:r>
        <w:rPr>
          <w:color w:val="36363d"/>
          <w:sz w:val="24"/>
          <w:szCs w:val="24"/>
        </w:rPr>
        <w:t>）</w:t>
      </w:r>
      <w:r>
        <w:rPr>
          <w:rFonts w:eastAsia="汉仪书宋二简" w:hAnsi="汉仪书宋二简"/>
          <w:color w:val="36363d"/>
          <w:sz w:val="24"/>
          <w:szCs w:val="24"/>
        </w:rPr>
        <w:t>以上之有期徒刑</w:t>
      </w:r>
      <w:r>
        <w:rPr>
          <w:color w:val="36363d"/>
          <w:sz w:val="24"/>
          <w:szCs w:val="24"/>
        </w:rPr>
        <w:t>、</w:t>
      </w:r>
      <w:r>
        <w:rPr>
          <w:rFonts w:eastAsia="汉仪书宋二简" w:hAnsi="汉仪书宋二简"/>
          <w:color w:val="36363d"/>
          <w:sz w:val="24"/>
          <w:szCs w:val="24"/>
        </w:rPr>
        <w:t>无期徒刑以上的刑法及相关法律之司法解释对应条文</w:t>
      </w:r>
      <w:r>
        <w:rPr>
          <w:color w:val="36363d"/>
          <w:sz w:val="24"/>
          <w:szCs w:val="24"/>
        </w:rPr>
        <w:t>；</w:t>
      </w:r>
      <w:r>
        <w:rPr>
          <w:rFonts w:eastAsia="汉仪书宋二简" w:hAnsi="汉仪书宋二简"/>
          <w:color w:val="36363d"/>
          <w:sz w:val="24"/>
          <w:szCs w:val="24"/>
        </w:rPr>
        <w:t>第3项 保证本人自身绝对不受死刑和无期徒刑</w:t>
      </w:r>
      <w:r>
        <w:rPr>
          <w:color w:val="36363d"/>
          <w:sz w:val="24"/>
          <w:szCs w:val="24"/>
        </w:rPr>
        <w:t>（</w:t>
      </w:r>
      <w:r>
        <w:rPr>
          <w:rFonts w:eastAsia="汉仪书宋二简" w:hAnsi="汉仪书宋二简"/>
          <w:color w:val="36363d"/>
          <w:sz w:val="24"/>
          <w:szCs w:val="24"/>
        </w:rPr>
        <w:t>以及剥夺政治权利终身</w:t>
      </w:r>
      <w:r>
        <w:rPr>
          <w:color w:val="36363d"/>
          <w:sz w:val="24"/>
          <w:szCs w:val="24"/>
        </w:rPr>
        <w:t>）</w:t>
      </w:r>
      <w:r>
        <w:rPr>
          <w:rFonts w:eastAsia="汉仪书宋二简" w:hAnsi="汉仪书宋二简"/>
          <w:color w:val="36363d"/>
          <w:sz w:val="24"/>
          <w:szCs w:val="24"/>
        </w:rPr>
        <w:t>的惩罚</w:t>
      </w:r>
      <w:r>
        <w:rPr>
          <w:color w:val="36363d"/>
          <w:sz w:val="24"/>
          <w:szCs w:val="24"/>
        </w:rPr>
        <w:t>。”</w:t>
      </w:r>
    </w:p>
    <w:p w14:paraId="F91C18E8">
      <w:pPr>
        <w:pStyle w:val="style4097"/>
        <w:spacing w:lineRule="auto" w:line="240"/>
        <w:rPr>
          <w:rFonts w:eastAsia="汉仪书宋二简" w:hAnsi="汉仪书宋二简"/>
          <w:color w:val="36363d"/>
          <w:sz w:val="36"/>
          <w:szCs w:val="36"/>
        </w:rPr>
      </w:pPr>
      <w:r>
        <w:rPr>
          <w:rFonts w:eastAsia="汉仪书宋二简"/>
          <w:color w:val="36363d"/>
          <w:sz w:val="36"/>
          <w:szCs w:val="36"/>
        </w:rPr>
        <w:t>附件A.07.001</w:t>
      </w:r>
      <w:r>
        <w:rPr>
          <w:color w:val="36363d"/>
          <w:sz w:val="36"/>
          <w:szCs w:val="36"/>
        </w:rPr>
        <w:t>《</w:t>
      </w:r>
      <w:r>
        <w:rPr>
          <w:rFonts w:eastAsia="汉仪书宋二简" w:hAnsi="汉仪书宋二简"/>
          <w:color w:val="36363d"/>
          <w:sz w:val="36"/>
          <w:szCs w:val="36"/>
        </w:rPr>
        <w:t>伦理礼仪会典</w:t>
      </w:r>
      <w:r>
        <w:rPr>
          <w:color w:val="36363d"/>
          <w:sz w:val="36"/>
          <w:szCs w:val="36"/>
        </w:rPr>
        <w:t>（</w:t>
      </w:r>
      <w:r>
        <w:rPr>
          <w:rFonts w:eastAsia="汉仪书宋二简" w:hAnsi="汉仪书宋二简"/>
          <w:color w:val="36363d"/>
          <w:sz w:val="36"/>
          <w:szCs w:val="36"/>
        </w:rPr>
        <w:t>大典</w:t>
      </w:r>
      <w:r>
        <w:rPr>
          <w:color w:val="36363d"/>
          <w:sz w:val="36"/>
          <w:szCs w:val="36"/>
        </w:rPr>
        <w:t>）》</w:t>
      </w:r>
      <w:r>
        <w:rPr>
          <w:rFonts w:eastAsia="汉仪书宋二简" w:hAnsi="汉仪书宋二简"/>
          <w:color w:val="36363d"/>
          <w:sz w:val="36"/>
          <w:szCs w:val="36"/>
        </w:rPr>
        <w:t>第五条</w:t>
      </w:r>
      <w:r>
        <w:rPr>
          <w:color w:val="36363d"/>
          <w:sz w:val="36"/>
          <w:szCs w:val="36"/>
        </w:rPr>
        <w:t>【</w:t>
      </w:r>
      <w:r>
        <w:rPr>
          <w:rFonts w:eastAsia="汉仪书宋二简" w:hAnsi="汉仪书宋二简"/>
          <w:color w:val="36363d"/>
          <w:sz w:val="36"/>
          <w:szCs w:val="36"/>
        </w:rPr>
        <w:t>反刑事重罪原则</w:t>
      </w:r>
      <w:r>
        <w:rPr>
          <w:color w:val="36363d"/>
          <w:sz w:val="36"/>
          <w:szCs w:val="36"/>
        </w:rPr>
        <w:t>】</w:t>
      </w:r>
      <w:r>
        <w:rPr>
          <w:rFonts w:eastAsia="汉仪书宋二简" w:hAnsi="汉仪书宋二简"/>
          <w:color w:val="36363d"/>
          <w:sz w:val="36"/>
          <w:szCs w:val="36"/>
        </w:rPr>
        <w:t>亦规定</w:t>
      </w:r>
      <w:r>
        <w:rPr>
          <w:color w:val="36363d"/>
          <w:sz w:val="36"/>
          <w:szCs w:val="36"/>
        </w:rPr>
        <w:t>：</w:t>
      </w:r>
    </w:p>
    <w:p w14:paraId="A1A8653E">
      <w:pPr>
        <w:pStyle w:val="style84"/>
        <w:spacing w:lineRule="auto" w:line="240"/>
        <w:rPr>
          <w:rFonts w:eastAsia="汉仪书宋二简"/>
          <w:color w:val="36363d"/>
          <w:sz w:val="24"/>
          <w:szCs w:val="24"/>
        </w:rPr>
      </w:pPr>
      <w:r>
        <w:rPr>
          <w:color w:val="36363d"/>
          <w:sz w:val="24"/>
          <w:szCs w:val="24"/>
        </w:rPr>
        <w:t>“</w:t>
      </w:r>
      <w:r>
        <w:rPr>
          <w:rFonts w:eastAsia="汉仪书宋二简" w:hAnsi="汉仪书宋二简"/>
          <w:color w:val="36363d"/>
          <w:sz w:val="24"/>
          <w:szCs w:val="24"/>
        </w:rPr>
        <w:t>以违反刑法</w:t>
      </w:r>
      <w:r>
        <w:rPr>
          <w:color w:val="36363d"/>
          <w:sz w:val="24"/>
          <w:szCs w:val="24"/>
        </w:rPr>
        <w:t>（</w:t>
      </w:r>
      <w:r>
        <w:rPr>
          <w:rFonts w:eastAsia="汉仪书宋二简" w:hAnsi="汉仪书宋二简"/>
          <w:color w:val="36363d"/>
          <w:sz w:val="24"/>
          <w:szCs w:val="24"/>
        </w:rPr>
        <w:t>特别是可能判处七年以上有期徒刑的罪行</w:t>
      </w:r>
      <w:r>
        <w:rPr>
          <w:color w:val="36363d"/>
          <w:sz w:val="24"/>
          <w:szCs w:val="24"/>
        </w:rPr>
        <w:t>）</w:t>
      </w:r>
      <w:r>
        <w:rPr>
          <w:rFonts w:eastAsia="汉仪书宋二简" w:hAnsi="汉仪书宋二简"/>
          <w:color w:val="36363d"/>
          <w:sz w:val="24"/>
          <w:szCs w:val="24"/>
        </w:rPr>
        <w:t>为绝对行为底线</w:t>
      </w:r>
      <w:r>
        <w:rPr>
          <w:color w:val="36363d"/>
          <w:sz w:val="24"/>
          <w:szCs w:val="24"/>
        </w:rPr>
        <w:t>。</w:t>
      </w:r>
      <w:r>
        <w:rPr>
          <w:rFonts w:eastAsia="汉仪书宋二简" w:hAnsi="汉仪书宋二简"/>
          <w:color w:val="36363d"/>
          <w:sz w:val="24"/>
          <w:szCs w:val="24"/>
        </w:rPr>
        <w:t>极端情况下</w:t>
      </w:r>
      <w:r>
        <w:rPr>
          <w:color w:val="36363d"/>
          <w:sz w:val="24"/>
          <w:szCs w:val="24"/>
        </w:rPr>
        <w:t>，</w:t>
      </w:r>
      <w:r>
        <w:rPr>
          <w:rFonts w:eastAsia="汉仪书宋二简" w:hAnsi="汉仪书宋二简"/>
          <w:color w:val="36363d"/>
          <w:sz w:val="24"/>
          <w:szCs w:val="24"/>
        </w:rPr>
        <w:t>可为重大利他目标接受有限度的刑罚</w:t>
      </w:r>
      <w:r>
        <w:rPr>
          <w:color w:val="36363d"/>
          <w:sz w:val="24"/>
          <w:szCs w:val="24"/>
        </w:rPr>
        <w:t>（</w:t>
      </w:r>
      <w:r>
        <w:rPr>
          <w:rFonts w:eastAsia="汉仪书宋二简" w:hAnsi="汉仪书宋二简"/>
          <w:color w:val="36363d"/>
          <w:sz w:val="24"/>
          <w:szCs w:val="24"/>
        </w:rPr>
        <w:t>单行为</w:t>
      </w:r>
      <w:r>
        <w:rPr>
          <w:color w:val="36363d"/>
          <w:sz w:val="24"/>
          <w:szCs w:val="24"/>
        </w:rPr>
        <w:t>≤</w:t>
      </w:r>
      <w:r>
        <w:rPr>
          <w:rFonts w:eastAsia="汉仪书宋二简" w:hAnsi="汉仪书宋二简"/>
          <w:color w:val="36363d"/>
          <w:sz w:val="24"/>
          <w:szCs w:val="24"/>
        </w:rPr>
        <w:t>7年</w:t>
      </w:r>
      <w:r>
        <w:rPr>
          <w:color w:val="36363d"/>
          <w:sz w:val="24"/>
          <w:szCs w:val="24"/>
        </w:rPr>
        <w:t>，</w:t>
      </w:r>
      <w:r>
        <w:rPr>
          <w:rFonts w:eastAsia="汉仪书宋二简" w:hAnsi="汉仪书宋二简"/>
          <w:color w:val="36363d"/>
          <w:sz w:val="24"/>
          <w:szCs w:val="24"/>
        </w:rPr>
        <w:t>多行为</w:t>
      </w:r>
      <w:r>
        <w:rPr>
          <w:color w:val="36363d"/>
          <w:sz w:val="24"/>
          <w:szCs w:val="24"/>
        </w:rPr>
        <w:t>≤</w:t>
      </w:r>
      <w:r>
        <w:rPr>
          <w:rFonts w:eastAsia="汉仪书宋二简" w:hAnsi="汉仪书宋二简"/>
          <w:color w:val="36363d"/>
          <w:sz w:val="24"/>
          <w:szCs w:val="24"/>
        </w:rPr>
        <w:t>20年</w:t>
      </w:r>
      <w:r>
        <w:rPr>
          <w:color w:val="36363d"/>
          <w:sz w:val="24"/>
          <w:szCs w:val="24"/>
        </w:rPr>
        <w:t>），</w:t>
      </w:r>
      <w:r>
        <w:rPr>
          <w:rFonts w:eastAsia="汉仪书宋二简" w:hAnsi="汉仪书宋二简"/>
          <w:color w:val="36363d"/>
          <w:sz w:val="24"/>
          <w:szCs w:val="24"/>
        </w:rPr>
        <w:t>但此为</w:t>
      </w:r>
      <w:r>
        <w:rPr>
          <w:color w:val="36363d"/>
          <w:sz w:val="24"/>
          <w:szCs w:val="24"/>
        </w:rPr>
        <w:t>’</w:t>
      </w:r>
      <w:r>
        <w:rPr>
          <w:rFonts w:eastAsia="汉仪书宋二简" w:hAnsi="汉仪书宋二简"/>
          <w:color w:val="36363d"/>
          <w:sz w:val="24"/>
          <w:szCs w:val="24"/>
        </w:rPr>
        <w:t>非常手段</w:t>
      </w:r>
      <w:r>
        <w:rPr>
          <w:color w:val="36363d"/>
          <w:sz w:val="24"/>
          <w:szCs w:val="24"/>
        </w:rPr>
        <w:t>’，</w:t>
      </w:r>
      <w:r>
        <w:rPr>
          <w:rFonts w:eastAsia="汉仪书宋二简" w:hAnsi="汉仪书宋二简"/>
          <w:color w:val="36363d"/>
          <w:sz w:val="24"/>
          <w:szCs w:val="24"/>
        </w:rPr>
        <w:t>需经共同体伦理委员会严格审查</w:t>
      </w:r>
      <w:r>
        <w:rPr>
          <w:color w:val="36363d"/>
          <w:sz w:val="24"/>
          <w:szCs w:val="24"/>
        </w:rPr>
        <w:t>。”</w:t>
      </w:r>
    </w:p>
    <w:p w14:paraId="3B28C0B3">
      <w:pPr>
        <w:pStyle w:val="style4097"/>
        <w:spacing w:lineRule="auto" w:line="240"/>
        <w:rPr>
          <w:rFonts w:eastAsia="汉仪书宋二简"/>
          <w:color w:val="36363d"/>
          <w:sz w:val="36"/>
          <w:szCs w:val="36"/>
        </w:rPr>
      </w:pPr>
      <w:r>
        <w:rPr>
          <w:rFonts w:eastAsia="汉仪书宋二简"/>
          <w:color w:val="36363d"/>
          <w:sz w:val="36"/>
          <w:szCs w:val="36"/>
        </w:rPr>
        <w:t>鉴于上述条款中</w:t>
      </w:r>
      <w:r>
        <w:rPr>
          <w:color w:val="36363d"/>
          <w:sz w:val="36"/>
          <w:szCs w:val="36"/>
        </w:rPr>
        <w:t>“</w:t>
      </w:r>
      <w:r>
        <w:rPr>
          <w:rFonts w:eastAsia="汉仪书宋二简" w:hAnsi="汉仪书宋二简"/>
          <w:color w:val="36363d"/>
          <w:sz w:val="36"/>
          <w:szCs w:val="36"/>
        </w:rPr>
        <w:t>七年以上有期徒刑</w:t>
      </w:r>
      <w:r>
        <w:rPr>
          <w:color w:val="36363d"/>
          <w:sz w:val="36"/>
          <w:szCs w:val="36"/>
        </w:rPr>
        <w:t>”“</w:t>
      </w:r>
      <w:r>
        <w:rPr>
          <w:rFonts w:eastAsia="汉仪书宋二简" w:hAnsi="汉仪书宋二简"/>
          <w:color w:val="36363d"/>
          <w:sz w:val="36"/>
          <w:szCs w:val="36"/>
        </w:rPr>
        <w:t>二十年有期徒刑</w:t>
      </w:r>
      <w:r>
        <w:rPr>
          <w:color w:val="36363d"/>
          <w:sz w:val="36"/>
          <w:szCs w:val="36"/>
        </w:rPr>
        <w:t>”</w:t>
      </w:r>
      <w:r>
        <w:rPr>
          <w:rFonts w:eastAsia="汉仪书宋二简" w:hAnsi="汉仪书宋二简"/>
          <w:color w:val="36363d"/>
          <w:sz w:val="36"/>
          <w:szCs w:val="36"/>
        </w:rPr>
        <w:t>等刑罚量级表述</w:t>
      </w:r>
      <w:r>
        <w:rPr>
          <w:color w:val="36363d"/>
          <w:sz w:val="36"/>
          <w:szCs w:val="36"/>
        </w:rPr>
        <w:t>，</w:t>
      </w:r>
      <w:r>
        <w:rPr>
          <w:rFonts w:eastAsia="汉仪书宋二简" w:hAnsi="汉仪书宋二简"/>
          <w:color w:val="36363d"/>
          <w:sz w:val="36"/>
          <w:szCs w:val="36"/>
        </w:rPr>
        <w:t>在字面阅读时可能产生以下误解</w:t>
      </w:r>
      <w:r>
        <w:rPr>
          <w:color w:val="36363d"/>
          <w:sz w:val="36"/>
          <w:szCs w:val="36"/>
        </w:rPr>
        <w:t>——</w:t>
      </w:r>
      <w:r>
        <w:rPr>
          <w:rFonts w:eastAsia="汉仪书宋二简" w:hAnsi="汉仪书宋二简"/>
          <w:color w:val="36363d"/>
          <w:sz w:val="36"/>
          <w:szCs w:val="36"/>
        </w:rPr>
        <w:t>即误认为宪章制定行为人意欲主动实施犯罪行为</w:t>
      </w:r>
      <w:r>
        <w:rPr>
          <w:color w:val="36363d"/>
          <w:sz w:val="36"/>
          <w:szCs w:val="36"/>
        </w:rPr>
        <w:t>、</w:t>
      </w:r>
      <w:r>
        <w:rPr>
          <w:rFonts w:eastAsia="汉仪书宋二简" w:hAnsi="汉仪书宋二简"/>
          <w:color w:val="36363d"/>
          <w:sz w:val="36"/>
          <w:szCs w:val="36"/>
        </w:rPr>
        <w:t>以受到刑事追诉为目标或目的</w:t>
      </w:r>
      <w:r>
        <w:rPr>
          <w:color w:val="36363d"/>
          <w:sz w:val="36"/>
          <w:szCs w:val="36"/>
        </w:rPr>
        <w:t>——</w:t>
      </w:r>
      <w:r>
        <w:rPr>
          <w:rFonts w:eastAsia="汉仪书宋二简" w:hAnsi="汉仪书宋二简"/>
          <w:color w:val="36363d"/>
          <w:sz w:val="36"/>
          <w:szCs w:val="36"/>
        </w:rPr>
        <w:t>特发本阐释函</w:t>
      </w:r>
      <w:r>
        <w:rPr>
          <w:color w:val="36363d"/>
          <w:sz w:val="36"/>
          <w:szCs w:val="36"/>
        </w:rPr>
        <w:t>，</w:t>
      </w:r>
      <w:r>
        <w:rPr>
          <w:rFonts w:eastAsia="汉仪书宋二简" w:hAnsi="汉仪书宋二简"/>
          <w:color w:val="36363d"/>
          <w:sz w:val="36"/>
          <w:szCs w:val="36"/>
        </w:rPr>
        <w:t>对上述条款的真实含义进行权威性澄清与解释</w:t>
      </w:r>
      <w:r>
        <w:rPr>
          <w:color w:val="36363d"/>
          <w:sz w:val="36"/>
          <w:szCs w:val="36"/>
        </w:rPr>
        <w:t>。</w:t>
      </w:r>
    </w:p>
    <w:bookmarkStart w:id="3" w:name="二阐释内容"/>
    <w:p w14:paraId="3E4C749C">
      <w:pPr>
        <w:pStyle w:val="style4102"/>
        <w:spacing w:lineRule="auto" w:line="240"/>
        <w:rPr>
          <w:rFonts w:eastAsia="汉仪书宋二简" w:hAnsi="汉仪书宋二简"/>
          <w:color w:val="36363d"/>
          <w:sz w:val="44"/>
          <w:szCs w:val="44"/>
        </w:rPr>
      </w:pPr>
      <w:r>
        <w:rPr>
          <w:rFonts w:eastAsia="汉仪书宋二简"/>
          <w:color w:val="36363d"/>
          <w:sz w:val="44"/>
          <w:szCs w:val="44"/>
        </w:rPr>
        <w:t>二</w:t>
      </w:r>
      <w:r>
        <w:rPr>
          <w:color w:val="36363d"/>
          <w:sz w:val="44"/>
          <w:szCs w:val="44"/>
        </w:rPr>
        <w:t>、</w:t>
      </w:r>
      <w:r>
        <w:rPr>
          <w:rFonts w:eastAsia="汉仪书宋二简" w:hAnsi="汉仪书宋二简"/>
          <w:color w:val="36363d"/>
          <w:sz w:val="44"/>
          <w:szCs w:val="44"/>
        </w:rPr>
        <w:t>阐释内容</w:t>
      </w:r>
      <w:bookmarkEnd w:id="3"/>
    </w:p>
    <w:bookmarkStart w:id="4" w:name="一七年以上有期徒刑等刑罚量级表述之真实含义"/>
    <w:p w14:paraId="4FA1E31F">
      <w:pPr>
        <w:pStyle w:val="style4103"/>
        <w:spacing w:lineRule="auto" w:line="240"/>
        <w:rPr>
          <w:rFonts w:eastAsia="汉仪书宋二简"/>
          <w:color w:val="36363d"/>
          <w:sz w:val="40"/>
          <w:szCs w:val="40"/>
        </w:rPr>
      </w:pPr>
      <w:r>
        <w:rPr>
          <w:color w:val="36363d"/>
          <w:sz w:val="40"/>
          <w:szCs w:val="40"/>
        </w:rPr>
        <w:t>（</w:t>
      </w:r>
      <w:r>
        <w:rPr>
          <w:rFonts w:eastAsia="汉仪书宋二简" w:hAnsi="汉仪书宋二简"/>
          <w:color w:val="36363d"/>
          <w:sz w:val="40"/>
          <w:szCs w:val="40"/>
        </w:rPr>
        <w:t>一</w:t>
      </w:r>
      <w:r>
        <w:rPr>
          <w:color w:val="36363d"/>
          <w:sz w:val="40"/>
          <w:szCs w:val="40"/>
        </w:rPr>
        <w:t>）“</w:t>
      </w:r>
      <w:r>
        <w:rPr>
          <w:rFonts w:eastAsia="汉仪书宋二简" w:hAnsi="汉仪书宋二简"/>
          <w:color w:val="36363d"/>
          <w:sz w:val="40"/>
          <w:szCs w:val="40"/>
        </w:rPr>
        <w:t>七年以上有期徒刑</w:t>
      </w:r>
      <w:r>
        <w:rPr>
          <w:color w:val="36363d"/>
          <w:sz w:val="40"/>
          <w:szCs w:val="40"/>
        </w:rPr>
        <w:t>”</w:t>
      </w:r>
      <w:r>
        <w:rPr>
          <w:rFonts w:eastAsia="汉仪书宋二简"/>
          <w:color w:val="36363d"/>
          <w:sz w:val="40"/>
          <w:szCs w:val="40"/>
        </w:rPr>
        <w:t>等刑罚量级表述之真实含义</w:t>
      </w:r>
      <w:bookmarkEnd w:id="4"/>
    </w:p>
    <w:p w14:paraId="114C6B77">
      <w:pPr>
        <w:pStyle w:val="style4097"/>
        <w:spacing w:lineRule="auto" w:line="240"/>
        <w:rPr>
          <w:rFonts w:eastAsia="汉仪书宋二简" w:hAnsi="汉仪书宋二简"/>
          <w:color w:val="36363d"/>
          <w:sz w:val="36"/>
          <w:szCs w:val="36"/>
        </w:rPr>
      </w:pPr>
      <w:r>
        <w:rPr>
          <w:rFonts w:eastAsia="汉仪书宋二简"/>
          <w:color w:val="36363d"/>
          <w:sz w:val="36"/>
          <w:szCs w:val="36"/>
        </w:rPr>
        <w:t>主宪章第十二条</w:t>
      </w:r>
      <w:r>
        <w:rPr>
          <w:color w:val="36363d"/>
          <w:sz w:val="36"/>
          <w:szCs w:val="36"/>
        </w:rPr>
        <w:t>、</w:t>
      </w:r>
      <w:r>
        <w:rPr>
          <w:rFonts w:eastAsia="汉仪书宋二简" w:hAnsi="汉仪书宋二简"/>
          <w:color w:val="36363d"/>
          <w:sz w:val="36"/>
          <w:szCs w:val="36"/>
        </w:rPr>
        <w:t>第十三条及附件A.07.001第五条中所引用的</w:t>
      </w:r>
      <w:r>
        <w:rPr>
          <w:color w:val="36363d"/>
          <w:sz w:val="36"/>
          <w:szCs w:val="36"/>
        </w:rPr>
        <w:t>“</w:t>
      </w:r>
      <w:r>
        <w:rPr>
          <w:rFonts w:eastAsia="汉仪书宋二简" w:hAnsi="汉仪书宋二简"/>
          <w:color w:val="36363d"/>
          <w:sz w:val="36"/>
          <w:szCs w:val="36"/>
        </w:rPr>
        <w:t>七年以上有期徒刑</w:t>
      </w:r>
      <w:r>
        <w:rPr>
          <w:color w:val="36363d"/>
          <w:sz w:val="36"/>
          <w:szCs w:val="36"/>
        </w:rPr>
        <w:t>”“</w:t>
      </w:r>
      <w:r>
        <w:rPr>
          <w:rFonts w:eastAsia="汉仪书宋二简" w:hAnsi="汉仪书宋二简"/>
          <w:color w:val="36363d"/>
          <w:sz w:val="36"/>
          <w:szCs w:val="36"/>
        </w:rPr>
        <w:t>二十年有期徒刑</w:t>
      </w:r>
      <w:r>
        <w:rPr>
          <w:color w:val="36363d"/>
          <w:sz w:val="36"/>
          <w:szCs w:val="36"/>
        </w:rPr>
        <w:t>”“</w:t>
      </w:r>
      <w:r>
        <w:rPr>
          <w:rFonts w:eastAsia="汉仪书宋二简" w:hAnsi="汉仪书宋二简"/>
          <w:color w:val="36363d"/>
          <w:sz w:val="36"/>
          <w:szCs w:val="36"/>
        </w:rPr>
        <w:t>无期徒刑</w:t>
      </w:r>
      <w:r>
        <w:rPr>
          <w:color w:val="36363d"/>
          <w:sz w:val="36"/>
          <w:szCs w:val="36"/>
        </w:rPr>
        <w:t>”</w:t>
      </w:r>
      <w:r>
        <w:rPr>
          <w:rFonts w:eastAsia="汉仪书宋二简" w:hAnsi="汉仪书宋二简"/>
          <w:color w:val="36363d"/>
          <w:sz w:val="36"/>
          <w:szCs w:val="36"/>
        </w:rPr>
        <w:t>等刑罚量级标准</w:t>
      </w:r>
      <w:r>
        <w:rPr>
          <w:color w:val="36363d"/>
          <w:sz w:val="36"/>
          <w:szCs w:val="36"/>
        </w:rPr>
        <w:t>，</w:t>
      </w:r>
      <w:r>
        <w:rPr>
          <w:rFonts w:eastAsia="汉仪书宋二简" w:hAnsi="汉仪书宋二简"/>
          <w:color w:val="36363d"/>
          <w:sz w:val="36"/>
          <w:szCs w:val="36"/>
        </w:rPr>
        <w:t>其性质为</w:t>
      </w:r>
      <w:r>
        <w:rPr>
          <w:rFonts w:eastAsia="汉仪书宋二简" w:hAnsi="汉仪书宋二简"/>
          <w:b/>
          <w:color w:val="36363d"/>
          <w:sz w:val="36"/>
          <w:szCs w:val="36"/>
        </w:rPr>
        <w:t>风险边界标尺</w:t>
      </w:r>
      <w:r>
        <w:rPr>
          <w:color w:val="36363d"/>
          <w:sz w:val="36"/>
          <w:szCs w:val="36"/>
        </w:rPr>
        <w:t>，</w:t>
      </w:r>
      <w:r>
        <w:rPr>
          <w:rFonts w:eastAsia="汉仪书宋二简" w:hAnsi="汉仪书宋二简"/>
          <w:color w:val="36363d"/>
          <w:sz w:val="36"/>
          <w:szCs w:val="36"/>
        </w:rPr>
        <w:t>而非</w:t>
      </w:r>
      <w:r>
        <w:rPr>
          <w:rFonts w:eastAsia="汉仪书宋二简" w:hAnsi="汉仪书宋二简"/>
          <w:b/>
          <w:color w:val="36363d"/>
          <w:sz w:val="36"/>
          <w:szCs w:val="36"/>
        </w:rPr>
        <w:t>行为目的或行为意图</w:t>
      </w:r>
      <w:r>
        <w:rPr>
          <w:color w:val="36363d"/>
          <w:sz w:val="36"/>
          <w:szCs w:val="36"/>
        </w:rPr>
        <w:t>。</w:t>
      </w:r>
    </w:p>
    <w:p w14:paraId="B654FBCF">
      <w:pPr>
        <w:pStyle w:val="style66"/>
        <w:spacing w:lineRule="auto" w:line="240"/>
        <w:rPr>
          <w:rFonts w:eastAsia="汉仪书宋二简" w:hAnsi="汉仪书宋二简"/>
          <w:color w:val="36363d"/>
          <w:sz w:val="36"/>
          <w:szCs w:val="36"/>
        </w:rPr>
      </w:pPr>
      <w:r>
        <w:rPr>
          <w:rFonts w:eastAsia="汉仪书宋二简" w:hAnsi="汉仪书宋二简"/>
          <w:color w:val="36363d"/>
          <w:sz w:val="36"/>
          <w:szCs w:val="36"/>
        </w:rPr>
        <w:t>具体而言</w:t>
      </w:r>
      <w:r>
        <w:rPr>
          <w:color w:val="36363d"/>
          <w:sz w:val="36"/>
          <w:szCs w:val="36"/>
        </w:rPr>
        <w:t>：</w:t>
      </w:r>
    </w:p>
    <w:p w14:paraId="25D64D48">
      <w:pPr>
        <w:pStyle w:val="style66"/>
        <w:spacing w:lineRule="auto" w:line="240"/>
        <w:rPr>
          <w:rFonts w:eastAsia="汉仪书宋二简" w:hAnsi="汉仪书宋二简"/>
          <w:color w:val="36363d"/>
          <w:sz w:val="36"/>
          <w:szCs w:val="36"/>
        </w:rPr>
      </w:pPr>
      <w:r>
        <w:rPr>
          <w:rFonts w:eastAsia="汉仪书宋二简" w:hAnsi="汉仪书宋二简"/>
          <w:b/>
          <w:color w:val="36363d"/>
          <w:sz w:val="36"/>
          <w:szCs w:val="36"/>
        </w:rPr>
        <w:t>1. 该等表述所指的是</w:t>
      </w:r>
      <w:r>
        <w:rPr>
          <w:b/>
          <w:color w:val="36363d"/>
          <w:sz w:val="36"/>
          <w:szCs w:val="36"/>
        </w:rPr>
        <w:t>“</w:t>
      </w:r>
      <w:r>
        <w:rPr>
          <w:rFonts w:eastAsia="汉仪书宋二简" w:hAnsi="汉仪书宋二简"/>
          <w:b/>
          <w:color w:val="36363d"/>
          <w:sz w:val="36"/>
          <w:szCs w:val="36"/>
        </w:rPr>
        <w:t>风险</w:t>
      </w:r>
      <w:r>
        <w:rPr>
          <w:b/>
          <w:color w:val="36363d"/>
          <w:sz w:val="36"/>
          <w:szCs w:val="36"/>
        </w:rPr>
        <w:t>”</w:t>
      </w:r>
      <w:r>
        <w:rPr>
          <w:rFonts w:eastAsia="汉仪书宋二简" w:hAnsi="汉仪书宋二简"/>
          <w:b/>
          <w:color w:val="36363d"/>
          <w:sz w:val="36"/>
          <w:szCs w:val="36"/>
        </w:rPr>
        <w:t>而非</w:t>
      </w:r>
      <w:r>
        <w:rPr>
          <w:b/>
          <w:color w:val="36363d"/>
          <w:sz w:val="36"/>
          <w:szCs w:val="36"/>
        </w:rPr>
        <w:t>“</w:t>
      </w:r>
      <w:r>
        <w:rPr>
          <w:rFonts w:eastAsia="汉仪书宋二简" w:hAnsi="汉仪书宋二简"/>
          <w:b/>
          <w:color w:val="36363d"/>
          <w:sz w:val="36"/>
          <w:szCs w:val="36"/>
        </w:rPr>
        <w:t>意图</w:t>
      </w:r>
      <w:r>
        <w:rPr>
          <w:b/>
          <w:color w:val="36363d"/>
          <w:sz w:val="36"/>
          <w:szCs w:val="36"/>
        </w:rPr>
        <w:t>”。</w:t>
      </w:r>
      <w:r>
        <w:rPr>
          <w:rFonts w:eastAsia="汉仪书宋二简" w:hAnsi="汉仪书宋二简"/>
          <w:color w:val="36363d"/>
          <w:sz w:val="36"/>
          <w:szCs w:val="36"/>
        </w:rPr>
        <w:t xml:space="preserve"> 宪章制定行为人引用上述刑罚量级</w:t>
      </w:r>
      <w:r>
        <w:rPr>
          <w:color w:val="36363d"/>
          <w:sz w:val="36"/>
          <w:szCs w:val="36"/>
        </w:rPr>
        <w:t>，</w:t>
      </w:r>
      <w:r>
        <w:rPr>
          <w:rFonts w:eastAsia="汉仪书宋二简" w:hAnsi="汉仪书宋二简"/>
          <w:color w:val="36363d"/>
          <w:sz w:val="36"/>
          <w:szCs w:val="36"/>
        </w:rPr>
        <w:t>系指某一行为如果实施</w:t>
      </w:r>
      <w:r>
        <w:rPr>
          <w:color w:val="36363d"/>
          <w:sz w:val="36"/>
          <w:szCs w:val="36"/>
        </w:rPr>
        <w:t>，</w:t>
      </w:r>
      <w:r>
        <w:rPr>
          <w:rFonts w:eastAsia="汉仪书宋二简" w:hAnsi="汉仪书宋二简"/>
          <w:color w:val="36363d"/>
          <w:sz w:val="36"/>
          <w:szCs w:val="36"/>
        </w:rPr>
        <w:t>在特定情况下存在构成该等犯罪之风险或较大之风险</w:t>
      </w:r>
      <w:r>
        <w:rPr>
          <w:color w:val="36363d"/>
          <w:sz w:val="36"/>
          <w:szCs w:val="36"/>
        </w:rPr>
        <w:t>，</w:t>
      </w:r>
      <w:r>
        <w:rPr>
          <w:rFonts w:eastAsia="汉仪书宋二简" w:hAnsi="汉仪书宋二简"/>
          <w:color w:val="36363d"/>
          <w:sz w:val="36"/>
          <w:szCs w:val="36"/>
        </w:rPr>
        <w:t>而非指宪章制定行为人以实施犯罪为目的</w:t>
      </w:r>
      <w:r>
        <w:rPr>
          <w:color w:val="36363d"/>
          <w:sz w:val="36"/>
          <w:szCs w:val="36"/>
        </w:rPr>
        <w:t>、</w:t>
      </w:r>
      <w:r>
        <w:rPr>
          <w:rFonts w:eastAsia="汉仪书宋二简" w:hAnsi="汉仪书宋二简"/>
          <w:color w:val="36363d"/>
          <w:sz w:val="36"/>
          <w:szCs w:val="36"/>
        </w:rPr>
        <w:t>以受到刑事处罚为追求</w:t>
      </w:r>
      <w:r>
        <w:rPr>
          <w:color w:val="36363d"/>
          <w:sz w:val="36"/>
          <w:szCs w:val="36"/>
        </w:rPr>
        <w:t>。</w:t>
      </w:r>
    </w:p>
    <w:p w14:paraId="F61A5BC0">
      <w:pPr>
        <w:pStyle w:val="style66"/>
        <w:spacing w:lineRule="auto" w:line="240"/>
        <w:rPr>
          <w:rFonts w:eastAsia="汉仪书宋二简" w:hAnsi="汉仪书宋二简"/>
          <w:color w:val="36363d"/>
          <w:sz w:val="36"/>
          <w:szCs w:val="36"/>
        </w:rPr>
      </w:pPr>
      <w:r>
        <w:rPr>
          <w:rFonts w:eastAsia="汉仪书宋二简" w:hAnsi="汉仪书宋二简"/>
          <w:b/>
          <w:color w:val="36363d"/>
          <w:sz w:val="36"/>
          <w:szCs w:val="36"/>
        </w:rPr>
        <w:t>2. 该等表述的功能是</w:t>
      </w:r>
      <w:r>
        <w:rPr>
          <w:b/>
          <w:color w:val="36363d"/>
          <w:sz w:val="36"/>
          <w:szCs w:val="36"/>
        </w:rPr>
        <w:t>“</w:t>
      </w:r>
      <w:r>
        <w:rPr>
          <w:rFonts w:eastAsia="汉仪书宋二简" w:hAnsi="汉仪书宋二简"/>
          <w:b/>
          <w:color w:val="36363d"/>
          <w:sz w:val="36"/>
          <w:szCs w:val="36"/>
        </w:rPr>
        <w:t>设限</w:t>
      </w:r>
      <w:r>
        <w:rPr>
          <w:b/>
          <w:color w:val="36363d"/>
          <w:sz w:val="36"/>
          <w:szCs w:val="36"/>
        </w:rPr>
        <w:t>”</w:t>
      </w:r>
      <w:r>
        <w:rPr>
          <w:rFonts w:eastAsia="汉仪书宋二简" w:hAnsi="汉仪书宋二简"/>
          <w:b/>
          <w:color w:val="36363d"/>
          <w:sz w:val="36"/>
          <w:szCs w:val="36"/>
        </w:rPr>
        <w:t>而非</w:t>
      </w:r>
      <w:r>
        <w:rPr>
          <w:b/>
          <w:color w:val="36363d"/>
          <w:sz w:val="36"/>
          <w:szCs w:val="36"/>
        </w:rPr>
        <w:t>“</w:t>
      </w:r>
      <w:r>
        <w:rPr>
          <w:rFonts w:eastAsia="汉仪书宋二简" w:hAnsi="汉仪书宋二简"/>
          <w:b/>
          <w:color w:val="36363d"/>
          <w:sz w:val="36"/>
          <w:szCs w:val="36"/>
        </w:rPr>
        <w:t>授权</w:t>
      </w:r>
      <w:r>
        <w:rPr>
          <w:b/>
          <w:color w:val="36363d"/>
          <w:sz w:val="36"/>
          <w:szCs w:val="36"/>
        </w:rPr>
        <w:t>”。</w:t>
      </w:r>
      <w:r>
        <w:rPr>
          <w:rFonts w:eastAsia="汉仪书宋二简" w:hAnsi="汉仪书宋二简"/>
          <w:color w:val="36363d"/>
          <w:sz w:val="36"/>
          <w:szCs w:val="36"/>
        </w:rPr>
        <w:t xml:space="preserve"> 上述条款的功能在于为宪章制定行为人自身设定一条不可逾越的行为风险边界</w:t>
      </w:r>
      <w:r>
        <w:rPr>
          <w:color w:val="36363d"/>
          <w:sz w:val="36"/>
          <w:szCs w:val="36"/>
        </w:rPr>
        <w:t>——</w:t>
      </w:r>
      <w:r>
        <w:rPr>
          <w:rFonts w:eastAsia="汉仪书宋二简" w:hAnsi="汉仪书宋二简"/>
          <w:color w:val="36363d"/>
          <w:sz w:val="36"/>
          <w:szCs w:val="36"/>
        </w:rPr>
        <w:t>即任何行为的法律风险不得达到或超过该等刑罚量级所对应的严重程度</w:t>
      </w:r>
      <w:r>
        <w:rPr>
          <w:color w:val="36363d"/>
          <w:sz w:val="36"/>
          <w:szCs w:val="36"/>
        </w:rPr>
        <w:t>。</w:t>
      </w:r>
      <w:r>
        <w:rPr>
          <w:rFonts w:eastAsia="汉仪书宋二简" w:hAnsi="汉仪书宋二简"/>
          <w:color w:val="36363d"/>
          <w:sz w:val="36"/>
          <w:szCs w:val="36"/>
        </w:rPr>
        <w:t>这是对自身行为的自我约束与自我限制</w:t>
      </w:r>
      <w:r>
        <w:rPr>
          <w:color w:val="36363d"/>
          <w:sz w:val="36"/>
          <w:szCs w:val="36"/>
        </w:rPr>
        <w:t>，</w:t>
      </w:r>
      <w:r>
        <w:rPr>
          <w:rFonts w:eastAsia="汉仪书宋二简" w:hAnsi="汉仪书宋二简"/>
          <w:color w:val="36363d"/>
          <w:sz w:val="36"/>
          <w:szCs w:val="36"/>
        </w:rPr>
        <w:t>而非对犯罪行为的预设</w:t>
      </w:r>
      <w:r>
        <w:rPr>
          <w:color w:val="36363d"/>
          <w:sz w:val="36"/>
          <w:szCs w:val="36"/>
        </w:rPr>
        <w:t>、</w:t>
      </w:r>
      <w:r>
        <w:rPr>
          <w:rFonts w:eastAsia="汉仪书宋二简" w:hAnsi="汉仪书宋二简"/>
          <w:color w:val="36363d"/>
          <w:sz w:val="36"/>
          <w:szCs w:val="36"/>
        </w:rPr>
        <w:t>许可或追求</w:t>
      </w:r>
      <w:r>
        <w:rPr>
          <w:color w:val="36363d"/>
          <w:sz w:val="36"/>
          <w:szCs w:val="36"/>
        </w:rPr>
        <w:t>。</w:t>
      </w:r>
    </w:p>
    <w:p w14:paraId="993A9D3B">
      <w:pPr>
        <w:pStyle w:val="style66"/>
        <w:spacing w:lineRule="auto" w:line="240"/>
        <w:rPr>
          <w:rFonts w:eastAsia="汉仪书宋二简" w:hAnsi="汉仪书宋二简"/>
          <w:color w:val="36363d"/>
          <w:sz w:val="36"/>
          <w:szCs w:val="36"/>
        </w:rPr>
      </w:pPr>
      <w:r>
        <w:rPr>
          <w:rFonts w:eastAsia="汉仪书宋二简" w:hAnsi="汉仪书宋二简"/>
          <w:b/>
          <w:color w:val="36363d"/>
          <w:sz w:val="36"/>
          <w:szCs w:val="36"/>
        </w:rPr>
        <w:t xml:space="preserve">3. </w:t>
      </w:r>
      <w:r>
        <w:rPr>
          <w:b/>
          <w:color w:val="36363d"/>
          <w:sz w:val="36"/>
          <w:szCs w:val="36"/>
        </w:rPr>
        <w:t>“</w:t>
      </w:r>
      <w:r>
        <w:rPr>
          <w:rFonts w:eastAsia="汉仪书宋二简" w:hAnsi="汉仪书宋二简"/>
          <w:b/>
          <w:color w:val="36363d"/>
          <w:sz w:val="36"/>
          <w:szCs w:val="36"/>
        </w:rPr>
        <w:t>极端情况下可为重大利他目标接受有限度的刑罚</w:t>
      </w:r>
      <w:r>
        <w:rPr>
          <w:b/>
          <w:color w:val="36363d"/>
          <w:sz w:val="36"/>
          <w:szCs w:val="36"/>
        </w:rPr>
        <w:t>”</w:t>
      </w:r>
      <w:r>
        <w:rPr>
          <w:rFonts w:eastAsia="汉仪书宋二简" w:hAnsi="汉仪书宋二简"/>
          <w:b/>
          <w:color w:val="36363d"/>
          <w:sz w:val="36"/>
          <w:szCs w:val="36"/>
        </w:rPr>
        <w:t>之含义</w:t>
      </w:r>
      <w:r>
        <w:rPr>
          <w:b/>
          <w:color w:val="36363d"/>
          <w:sz w:val="36"/>
          <w:szCs w:val="36"/>
        </w:rPr>
        <w:t>。</w:t>
      </w:r>
      <w:r>
        <w:rPr>
          <w:rFonts w:eastAsia="汉仪书宋二简" w:hAnsi="汉仪书宋二简"/>
          <w:color w:val="36363d"/>
          <w:sz w:val="36"/>
          <w:szCs w:val="36"/>
        </w:rPr>
        <w:t xml:space="preserve"> 第十三条及A.07.001第五条中关于</w:t>
      </w:r>
      <w:r>
        <w:rPr>
          <w:color w:val="36363d"/>
          <w:sz w:val="36"/>
          <w:szCs w:val="36"/>
        </w:rPr>
        <w:t>“</w:t>
      </w:r>
      <w:r>
        <w:rPr>
          <w:rFonts w:eastAsia="汉仪书宋二简" w:hAnsi="汉仪书宋二简"/>
          <w:color w:val="36363d"/>
          <w:sz w:val="36"/>
          <w:szCs w:val="36"/>
        </w:rPr>
        <w:t>极端情况下</w:t>
      </w:r>
      <w:r>
        <w:rPr>
          <w:color w:val="36363d"/>
          <w:sz w:val="36"/>
          <w:szCs w:val="36"/>
        </w:rPr>
        <w:t>”</w:t>
      </w:r>
      <w:r>
        <w:rPr>
          <w:rFonts w:eastAsia="汉仪书宋二简" w:hAnsi="汉仪书宋二简"/>
          <w:color w:val="36363d"/>
          <w:sz w:val="36"/>
          <w:szCs w:val="36"/>
        </w:rPr>
        <w:t>的表述</w:t>
      </w:r>
      <w:r>
        <w:rPr>
          <w:color w:val="36363d"/>
          <w:sz w:val="36"/>
          <w:szCs w:val="36"/>
        </w:rPr>
        <w:t>，</w:t>
      </w:r>
      <w:r>
        <w:rPr>
          <w:rFonts w:eastAsia="汉仪书宋二简" w:hAnsi="汉仪书宋二简"/>
          <w:color w:val="36363d"/>
          <w:sz w:val="36"/>
          <w:szCs w:val="36"/>
        </w:rPr>
        <w:t>系指在极为罕见的</w:t>
      </w:r>
      <w:r>
        <w:rPr>
          <w:color w:val="36363d"/>
          <w:sz w:val="36"/>
          <w:szCs w:val="36"/>
        </w:rPr>
        <w:t>、</w:t>
      </w:r>
      <w:r>
        <w:rPr>
          <w:rFonts w:eastAsia="汉仪书宋二简" w:hAnsi="汉仪书宋二简"/>
          <w:color w:val="36363d"/>
          <w:sz w:val="36"/>
          <w:szCs w:val="36"/>
        </w:rPr>
        <w:t>为达成重大利他主义目标而不得不采取非常手段的情形下</w:t>
      </w:r>
      <w:r>
        <w:rPr>
          <w:color w:val="36363d"/>
          <w:sz w:val="36"/>
          <w:szCs w:val="36"/>
        </w:rPr>
        <w:t>，</w:t>
      </w:r>
      <w:r>
        <w:rPr>
          <w:rFonts w:eastAsia="汉仪书宋二简" w:hAnsi="汉仪书宋二简"/>
          <w:color w:val="36363d"/>
          <w:sz w:val="36"/>
          <w:szCs w:val="36"/>
        </w:rPr>
        <w:t>宪章制定行为人在经严格审查程序后</w:t>
      </w:r>
      <w:r>
        <w:rPr>
          <w:color w:val="36363d"/>
          <w:sz w:val="36"/>
          <w:szCs w:val="36"/>
        </w:rPr>
        <w:t>，</w:t>
      </w:r>
      <w:r>
        <w:rPr>
          <w:rFonts w:eastAsia="汉仪书宋二简" w:hAnsi="汉仪书宋二简"/>
          <w:color w:val="36363d"/>
          <w:sz w:val="36"/>
          <w:szCs w:val="36"/>
        </w:rPr>
        <w:t>可接受某一行为在客观上存在被追究有限度刑事责任之风险</w:t>
      </w:r>
      <w:r>
        <w:rPr>
          <w:color w:val="36363d"/>
          <w:sz w:val="36"/>
          <w:szCs w:val="36"/>
        </w:rPr>
        <w:t>。</w:t>
      </w:r>
      <w:r>
        <w:rPr>
          <w:rFonts w:eastAsia="汉仪书宋二简" w:hAnsi="汉仪书宋二简"/>
          <w:color w:val="36363d"/>
          <w:sz w:val="36"/>
          <w:szCs w:val="36"/>
        </w:rPr>
        <w:t>此处的</w:t>
      </w:r>
      <w:r>
        <w:rPr>
          <w:color w:val="36363d"/>
          <w:sz w:val="36"/>
          <w:szCs w:val="36"/>
        </w:rPr>
        <w:t>“</w:t>
      </w:r>
      <w:r>
        <w:rPr>
          <w:rFonts w:eastAsia="汉仪书宋二简" w:hAnsi="汉仪书宋二简"/>
          <w:color w:val="36363d"/>
          <w:sz w:val="36"/>
          <w:szCs w:val="36"/>
        </w:rPr>
        <w:t>接受</w:t>
      </w:r>
      <w:r>
        <w:rPr>
          <w:color w:val="36363d"/>
          <w:sz w:val="36"/>
          <w:szCs w:val="36"/>
        </w:rPr>
        <w:t>”</w:t>
      </w:r>
      <w:r>
        <w:rPr>
          <w:rFonts w:eastAsia="汉仪书宋二简" w:hAnsi="汉仪书宋二简"/>
          <w:color w:val="36363d"/>
          <w:sz w:val="36"/>
          <w:szCs w:val="36"/>
        </w:rPr>
        <w:t>系指对风险的接受</w:t>
      </w:r>
      <w:r>
        <w:rPr>
          <w:color w:val="36363d"/>
          <w:sz w:val="36"/>
          <w:szCs w:val="36"/>
        </w:rPr>
        <w:t>，</w:t>
      </w:r>
      <w:r>
        <w:rPr>
          <w:rFonts w:eastAsia="汉仪书宋二简" w:hAnsi="汉仪书宋二简"/>
          <w:color w:val="36363d"/>
          <w:sz w:val="36"/>
          <w:szCs w:val="36"/>
        </w:rPr>
        <w:t>即认识到该行为在特定情况下存在构成犯罪之风险并愿意承担该风险后果</w:t>
      </w:r>
      <w:r>
        <w:rPr>
          <w:color w:val="36363d"/>
          <w:sz w:val="36"/>
          <w:szCs w:val="36"/>
        </w:rPr>
        <w:t>，</w:t>
      </w:r>
      <w:r>
        <w:rPr>
          <w:rFonts w:eastAsia="汉仪书宋二简" w:hAnsi="汉仪书宋二简"/>
          <w:color w:val="36363d"/>
          <w:sz w:val="36"/>
          <w:szCs w:val="36"/>
        </w:rPr>
        <w:t>而非指以犯罪为目的或以受到刑罚处罚为追求目标</w:t>
      </w:r>
      <w:r>
        <w:rPr>
          <w:color w:val="36363d"/>
          <w:sz w:val="36"/>
          <w:szCs w:val="36"/>
        </w:rPr>
        <w:t>。</w:t>
      </w:r>
    </w:p>
    <w:bookmarkStart w:id="5" w:name="二风险与意图之严格区分"/>
    <w:p w14:paraId="D6472B75">
      <w:pPr>
        <w:pStyle w:val="style4103"/>
        <w:spacing w:lineRule="auto" w:line="240"/>
        <w:rPr>
          <w:rFonts w:eastAsia="汉仪书宋二简"/>
          <w:color w:val="36363d"/>
          <w:sz w:val="40"/>
          <w:szCs w:val="40"/>
        </w:rPr>
      </w:pPr>
      <w:r>
        <w:rPr>
          <w:color w:val="36363d"/>
          <w:sz w:val="40"/>
          <w:szCs w:val="40"/>
        </w:rPr>
        <w:t>（</w:t>
      </w:r>
      <w:r>
        <w:rPr>
          <w:rFonts w:eastAsia="汉仪书宋二简" w:hAnsi="汉仪书宋二简"/>
          <w:color w:val="36363d"/>
          <w:sz w:val="40"/>
          <w:szCs w:val="40"/>
        </w:rPr>
        <w:t>二</w:t>
      </w:r>
      <w:r>
        <w:rPr>
          <w:color w:val="36363d"/>
          <w:sz w:val="40"/>
          <w:szCs w:val="40"/>
        </w:rPr>
        <w:t>）“</w:t>
      </w:r>
      <w:r>
        <w:rPr>
          <w:rFonts w:eastAsia="汉仪书宋二简" w:hAnsi="汉仪书宋二简"/>
          <w:color w:val="36363d"/>
          <w:sz w:val="40"/>
          <w:szCs w:val="40"/>
        </w:rPr>
        <w:t>风险</w:t>
      </w:r>
      <w:r>
        <w:rPr>
          <w:color w:val="36363d"/>
          <w:sz w:val="40"/>
          <w:szCs w:val="40"/>
        </w:rPr>
        <w:t>”</w:t>
      </w:r>
      <w:r>
        <w:rPr>
          <w:rFonts w:eastAsia="汉仪书宋二简" w:hAnsi="汉仪书宋二简"/>
          <w:color w:val="36363d"/>
          <w:sz w:val="40"/>
          <w:szCs w:val="40"/>
        </w:rPr>
        <w:t>与</w:t>
      </w:r>
      <w:r>
        <w:rPr>
          <w:color w:val="36363d"/>
          <w:sz w:val="40"/>
          <w:szCs w:val="40"/>
        </w:rPr>
        <w:t>“</w:t>
      </w:r>
      <w:r>
        <w:rPr>
          <w:rFonts w:eastAsia="汉仪书宋二简" w:hAnsi="汉仪书宋二简"/>
          <w:color w:val="36363d"/>
          <w:sz w:val="40"/>
          <w:szCs w:val="40"/>
        </w:rPr>
        <w:t>意图</w:t>
      </w:r>
      <w:r>
        <w:rPr>
          <w:color w:val="36363d"/>
          <w:sz w:val="40"/>
          <w:szCs w:val="40"/>
        </w:rPr>
        <w:t>”</w:t>
      </w:r>
      <w:r>
        <w:rPr>
          <w:rFonts w:eastAsia="汉仪书宋二简"/>
          <w:color w:val="36363d"/>
          <w:sz w:val="40"/>
          <w:szCs w:val="40"/>
        </w:rPr>
        <w:t>之严格区分</w:t>
      </w:r>
      <w:bookmarkEnd w:id="5"/>
    </w:p>
    <w:p w14:paraId="0BC79D01">
      <w:pPr>
        <w:pStyle w:val="style4097"/>
        <w:spacing w:lineRule="auto" w:line="240"/>
        <w:rPr>
          <w:rFonts w:eastAsia="汉仪书宋二简" w:hAnsi="汉仪书宋二简"/>
          <w:color w:val="36363d"/>
          <w:sz w:val="36"/>
          <w:szCs w:val="36"/>
        </w:rPr>
      </w:pPr>
      <w:r>
        <w:rPr>
          <w:rFonts w:eastAsia="汉仪书宋二简"/>
          <w:color w:val="36363d"/>
          <w:sz w:val="36"/>
          <w:szCs w:val="36"/>
        </w:rPr>
        <w:t>为消除一切可能的歧义</w:t>
      </w:r>
      <w:r>
        <w:rPr>
          <w:color w:val="36363d"/>
          <w:sz w:val="36"/>
          <w:szCs w:val="36"/>
        </w:rPr>
        <w:t>，</w:t>
      </w:r>
      <w:r>
        <w:rPr>
          <w:rFonts w:eastAsia="汉仪书宋二简" w:hAnsi="汉仪书宋二简"/>
          <w:color w:val="36363d"/>
          <w:sz w:val="36"/>
          <w:szCs w:val="36"/>
        </w:rPr>
        <w:t>特作如下严格区分</w:t>
      </w:r>
      <w:r>
        <w:rPr>
          <w:color w:val="36363d"/>
          <w:sz w:val="36"/>
          <w:szCs w:val="36"/>
        </w:rPr>
        <w:t>：</w:t>
      </w:r>
    </w:p>
    <w:p w14:paraId="DCEA594B">
      <w:pPr>
        <w:pStyle w:val="style179"/>
        <w:numPr>
          <w:ilvl w:val="0"/>
          <w:numId w:val="2"/>
        </w:numPr>
        <w:spacing w:lineRule="auto" w:line="240"/>
        <w:rPr>
          <w:rFonts w:eastAsia="汉仪书宋二简" w:hAnsi="汉仪书宋二简"/>
          <w:color w:val="36363d"/>
          <w:sz w:val="36"/>
          <w:szCs w:val="36"/>
        </w:rPr>
      </w:pPr>
      <w:r>
        <w:rPr>
          <w:rFonts w:eastAsia="汉仪书宋二简" w:hAnsi="汉仪书宋二简"/>
          <w:b/>
          <w:color w:val="36363d"/>
          <w:sz w:val="36"/>
          <w:szCs w:val="36"/>
        </w:rPr>
        <w:t>性质方面</w:t>
      </w:r>
      <w:r>
        <w:rPr>
          <w:b/>
          <w:color w:val="36363d"/>
          <w:sz w:val="36"/>
          <w:szCs w:val="36"/>
        </w:rPr>
        <w:t>：</w:t>
      </w:r>
      <w:r>
        <w:rPr>
          <w:rFonts w:eastAsia="汉仪书宋二简" w:hAnsi="汉仪书宋二简"/>
          <w:color w:val="36363d"/>
          <w:sz w:val="36"/>
          <w:szCs w:val="36"/>
        </w:rPr>
        <w:t xml:space="preserve"> </w:t>
      </w:r>
      <w:r>
        <w:rPr>
          <w:color w:val="36363d"/>
          <w:sz w:val="36"/>
          <w:szCs w:val="36"/>
        </w:rPr>
        <w:t>“</w:t>
      </w:r>
      <w:r>
        <w:rPr>
          <w:rFonts w:eastAsia="汉仪书宋二简" w:hAnsi="汉仪书宋二简"/>
          <w:color w:val="36363d"/>
          <w:sz w:val="36"/>
          <w:szCs w:val="36"/>
        </w:rPr>
        <w:t>风险</w:t>
      </w:r>
      <w:r>
        <w:rPr>
          <w:color w:val="36363d"/>
          <w:sz w:val="36"/>
          <w:szCs w:val="36"/>
        </w:rPr>
        <w:t>”（</w:t>
      </w:r>
      <w:r>
        <w:rPr>
          <w:rFonts w:eastAsia="汉仪书宋二简" w:hAnsi="汉仪书宋二简"/>
          <w:color w:val="36363d"/>
          <w:sz w:val="36"/>
          <w:szCs w:val="36"/>
        </w:rPr>
        <w:t>本宪章所指向者</w:t>
      </w:r>
      <w:r>
        <w:rPr>
          <w:color w:val="36363d"/>
          <w:sz w:val="36"/>
          <w:szCs w:val="36"/>
        </w:rPr>
        <w:t>）</w:t>
      </w:r>
      <w:r>
        <w:rPr>
          <w:rFonts w:eastAsia="汉仪书宋二简" w:hAnsi="汉仪书宋二简"/>
          <w:color w:val="36363d"/>
          <w:sz w:val="36"/>
          <w:szCs w:val="36"/>
        </w:rPr>
        <w:t>指某一行为在客观上存在构成犯罪之可能性</w:t>
      </w:r>
      <w:r>
        <w:rPr>
          <w:color w:val="36363d"/>
          <w:sz w:val="36"/>
          <w:szCs w:val="36"/>
        </w:rPr>
        <w:t>；“</w:t>
      </w:r>
      <w:r>
        <w:rPr>
          <w:rFonts w:eastAsia="汉仪书宋二简" w:hAnsi="汉仪书宋二简"/>
          <w:color w:val="36363d"/>
          <w:sz w:val="36"/>
          <w:szCs w:val="36"/>
        </w:rPr>
        <w:t>意图</w:t>
      </w:r>
      <w:r>
        <w:rPr>
          <w:color w:val="36363d"/>
          <w:sz w:val="36"/>
          <w:szCs w:val="36"/>
        </w:rPr>
        <w:t>”（</w:t>
      </w:r>
      <w:r>
        <w:rPr>
          <w:rFonts w:eastAsia="汉仪书宋二简" w:hAnsi="汉仪书宋二简"/>
          <w:color w:val="36363d"/>
          <w:sz w:val="36"/>
          <w:szCs w:val="36"/>
        </w:rPr>
        <w:t>本宪章所不指向者</w:t>
      </w:r>
      <w:r>
        <w:rPr>
          <w:color w:val="36363d"/>
          <w:sz w:val="36"/>
          <w:szCs w:val="36"/>
        </w:rPr>
        <w:t>）</w:t>
      </w:r>
      <w:r>
        <w:rPr>
          <w:rFonts w:eastAsia="汉仪书宋二简" w:hAnsi="汉仪书宋二简"/>
          <w:color w:val="36363d"/>
          <w:sz w:val="36"/>
          <w:szCs w:val="36"/>
        </w:rPr>
        <w:t>指以实施犯罪为目的</w:t>
      </w:r>
      <w:r>
        <w:rPr>
          <w:color w:val="36363d"/>
          <w:sz w:val="36"/>
          <w:szCs w:val="36"/>
        </w:rPr>
        <w:t>、</w:t>
      </w:r>
      <w:r>
        <w:rPr>
          <w:rFonts w:eastAsia="汉仪书宋二简" w:hAnsi="汉仪书宋二简"/>
          <w:color w:val="36363d"/>
          <w:sz w:val="36"/>
          <w:szCs w:val="36"/>
        </w:rPr>
        <w:t>以受到刑罚为追求</w:t>
      </w:r>
      <w:r>
        <w:rPr>
          <w:color w:val="36363d"/>
          <w:sz w:val="36"/>
          <w:szCs w:val="36"/>
        </w:rPr>
        <w:t>。</w:t>
      </w:r>
    </w:p>
    <w:p w14:paraId="2764D8AE">
      <w:pPr>
        <w:pStyle w:val="style179"/>
        <w:numPr>
          <w:ilvl w:val="0"/>
          <w:numId w:val="2"/>
        </w:numPr>
        <w:spacing w:lineRule="auto" w:line="240"/>
        <w:rPr>
          <w:rFonts w:eastAsia="汉仪书宋二简" w:hAnsi="汉仪书宋二简"/>
          <w:color w:val="36363d"/>
          <w:sz w:val="36"/>
          <w:szCs w:val="36"/>
        </w:rPr>
      </w:pPr>
      <w:r>
        <w:rPr>
          <w:rFonts w:eastAsia="汉仪书宋二简" w:hAnsi="汉仪书宋二简"/>
          <w:b/>
          <w:color w:val="36363d"/>
          <w:sz w:val="36"/>
          <w:szCs w:val="36"/>
        </w:rPr>
        <w:t>主观状态</w:t>
      </w:r>
      <w:r>
        <w:rPr>
          <w:b/>
          <w:color w:val="36363d"/>
          <w:sz w:val="36"/>
          <w:szCs w:val="36"/>
        </w:rPr>
        <w:t>：</w:t>
      </w:r>
      <w:r>
        <w:rPr>
          <w:rFonts w:eastAsia="汉仪书宋二简" w:hAnsi="汉仪书宋二简"/>
          <w:color w:val="36363d"/>
          <w:sz w:val="36"/>
          <w:szCs w:val="36"/>
        </w:rPr>
        <w:t xml:space="preserve"> </w:t>
      </w:r>
      <w:r>
        <w:rPr>
          <w:color w:val="36363d"/>
          <w:sz w:val="36"/>
          <w:szCs w:val="36"/>
        </w:rPr>
        <w:t>“</w:t>
      </w:r>
      <w:r>
        <w:rPr>
          <w:rFonts w:eastAsia="汉仪书宋二简" w:hAnsi="汉仪书宋二简"/>
          <w:color w:val="36363d"/>
          <w:sz w:val="36"/>
          <w:szCs w:val="36"/>
        </w:rPr>
        <w:t>风险</w:t>
      </w:r>
      <w:r>
        <w:rPr>
          <w:color w:val="36363d"/>
          <w:sz w:val="36"/>
          <w:szCs w:val="36"/>
        </w:rPr>
        <w:t>”</w:t>
      </w:r>
      <w:r>
        <w:rPr>
          <w:rFonts w:eastAsia="汉仪书宋二简" w:hAnsi="汉仪书宋二简"/>
          <w:color w:val="36363d"/>
          <w:sz w:val="36"/>
          <w:szCs w:val="36"/>
        </w:rPr>
        <w:t>指认识到风险的存在并对其进行评估与管控</w:t>
      </w:r>
      <w:r>
        <w:rPr>
          <w:color w:val="36363d"/>
          <w:sz w:val="36"/>
          <w:szCs w:val="36"/>
        </w:rPr>
        <w:t>；“</w:t>
      </w:r>
      <w:r>
        <w:rPr>
          <w:rFonts w:eastAsia="汉仪书宋二简" w:hAnsi="汉仪书宋二简"/>
          <w:color w:val="36363d"/>
          <w:sz w:val="36"/>
          <w:szCs w:val="36"/>
        </w:rPr>
        <w:t>意图</w:t>
      </w:r>
      <w:r>
        <w:rPr>
          <w:color w:val="36363d"/>
          <w:sz w:val="36"/>
          <w:szCs w:val="36"/>
        </w:rPr>
        <w:t>”</w:t>
      </w:r>
      <w:r>
        <w:rPr>
          <w:rFonts w:eastAsia="汉仪书宋二简" w:hAnsi="汉仪书宋二简"/>
          <w:color w:val="36363d"/>
          <w:sz w:val="36"/>
          <w:szCs w:val="36"/>
        </w:rPr>
        <w:t>指积极追求犯罪结果的发生</w:t>
      </w:r>
      <w:r>
        <w:rPr>
          <w:color w:val="36363d"/>
          <w:sz w:val="36"/>
          <w:szCs w:val="36"/>
        </w:rPr>
        <w:t>。</w:t>
      </w:r>
    </w:p>
    <w:p w14:paraId="5CB5E68C">
      <w:pPr>
        <w:pStyle w:val="style179"/>
        <w:numPr>
          <w:ilvl w:val="0"/>
          <w:numId w:val="2"/>
        </w:numPr>
        <w:spacing w:lineRule="auto" w:line="240"/>
        <w:rPr>
          <w:rFonts w:eastAsia="汉仪书宋二简" w:hAnsi="汉仪书宋二简"/>
          <w:color w:val="36363d"/>
          <w:sz w:val="36"/>
          <w:szCs w:val="36"/>
        </w:rPr>
      </w:pPr>
      <w:r>
        <w:rPr>
          <w:rFonts w:eastAsia="汉仪书宋二简" w:hAnsi="汉仪书宋二简"/>
          <w:b/>
          <w:color w:val="36363d"/>
          <w:sz w:val="36"/>
          <w:szCs w:val="36"/>
        </w:rPr>
        <w:t>行为定位</w:t>
      </w:r>
      <w:r>
        <w:rPr>
          <w:b/>
          <w:color w:val="36363d"/>
          <w:sz w:val="36"/>
          <w:szCs w:val="36"/>
        </w:rPr>
        <w:t>：</w:t>
      </w:r>
      <w:r>
        <w:rPr>
          <w:rFonts w:eastAsia="汉仪书宋二简" w:hAnsi="汉仪书宋二简"/>
          <w:color w:val="36363d"/>
          <w:sz w:val="36"/>
          <w:szCs w:val="36"/>
        </w:rPr>
        <w:t xml:space="preserve"> </w:t>
      </w:r>
      <w:r>
        <w:rPr>
          <w:color w:val="36363d"/>
          <w:sz w:val="36"/>
          <w:szCs w:val="36"/>
        </w:rPr>
        <w:t>“</w:t>
      </w:r>
      <w:r>
        <w:rPr>
          <w:rFonts w:eastAsia="汉仪书宋二简" w:hAnsi="汉仪书宋二简"/>
          <w:color w:val="36363d"/>
          <w:sz w:val="36"/>
          <w:szCs w:val="36"/>
        </w:rPr>
        <w:t>风险</w:t>
      </w:r>
      <w:r>
        <w:rPr>
          <w:color w:val="36363d"/>
          <w:sz w:val="36"/>
          <w:szCs w:val="36"/>
        </w:rPr>
        <w:t>”</w:t>
      </w:r>
      <w:r>
        <w:rPr>
          <w:rFonts w:eastAsia="汉仪书宋二简" w:hAnsi="汉仪书宋二简"/>
          <w:color w:val="36363d"/>
          <w:sz w:val="36"/>
          <w:szCs w:val="36"/>
        </w:rPr>
        <w:t>定位为非常手段</w:t>
      </w:r>
      <w:r>
        <w:rPr>
          <w:color w:val="36363d"/>
          <w:sz w:val="36"/>
          <w:szCs w:val="36"/>
        </w:rPr>
        <w:t>、</w:t>
      </w:r>
      <w:r>
        <w:rPr>
          <w:rFonts w:eastAsia="汉仪书宋二简" w:hAnsi="汉仪书宋二简"/>
          <w:color w:val="36363d"/>
          <w:sz w:val="36"/>
          <w:szCs w:val="36"/>
        </w:rPr>
        <w:t>过渡性</w:t>
      </w:r>
      <w:r>
        <w:rPr>
          <w:color w:val="36363d"/>
          <w:sz w:val="36"/>
          <w:szCs w:val="36"/>
        </w:rPr>
        <w:t>、</w:t>
      </w:r>
      <w:r>
        <w:rPr>
          <w:rFonts w:eastAsia="汉仪书宋二简" w:hAnsi="汉仪书宋二简"/>
          <w:color w:val="36363d"/>
          <w:sz w:val="36"/>
          <w:szCs w:val="36"/>
        </w:rPr>
        <w:t>临时性</w:t>
      </w:r>
      <w:r>
        <w:rPr>
          <w:color w:val="36363d"/>
          <w:sz w:val="36"/>
          <w:szCs w:val="36"/>
        </w:rPr>
        <w:t>，</w:t>
      </w:r>
      <w:r>
        <w:rPr>
          <w:rFonts w:eastAsia="汉仪书宋二简" w:hAnsi="汉仪书宋二简"/>
          <w:color w:val="36363d"/>
          <w:sz w:val="36"/>
          <w:szCs w:val="36"/>
        </w:rPr>
        <w:t>须经严格审查</w:t>
      </w:r>
      <w:r>
        <w:rPr>
          <w:color w:val="36363d"/>
          <w:sz w:val="36"/>
          <w:szCs w:val="36"/>
        </w:rPr>
        <w:t>；“</w:t>
      </w:r>
      <w:r>
        <w:rPr>
          <w:rFonts w:eastAsia="汉仪书宋二简" w:hAnsi="汉仪书宋二简"/>
          <w:color w:val="36363d"/>
          <w:sz w:val="36"/>
          <w:szCs w:val="36"/>
        </w:rPr>
        <w:t>意图</w:t>
      </w:r>
      <w:r>
        <w:rPr>
          <w:color w:val="36363d"/>
          <w:sz w:val="36"/>
          <w:szCs w:val="36"/>
        </w:rPr>
        <w:t>”</w:t>
      </w:r>
      <w:r>
        <w:rPr>
          <w:rFonts w:eastAsia="汉仪书宋二简" w:hAnsi="汉仪书宋二简"/>
          <w:color w:val="36363d"/>
          <w:sz w:val="36"/>
          <w:szCs w:val="36"/>
        </w:rPr>
        <w:t>不存在此等定位</w:t>
      </w:r>
      <w:r>
        <w:rPr>
          <w:color w:val="36363d"/>
          <w:sz w:val="36"/>
          <w:szCs w:val="36"/>
        </w:rPr>
        <w:t>。</w:t>
      </w:r>
    </w:p>
    <w:p w14:paraId="744095AF">
      <w:pPr>
        <w:pStyle w:val="style179"/>
        <w:numPr>
          <w:ilvl w:val="0"/>
          <w:numId w:val="2"/>
        </w:numPr>
        <w:spacing w:lineRule="auto" w:line="240"/>
        <w:rPr>
          <w:rFonts w:eastAsia="汉仪书宋二简" w:hAnsi="汉仪书宋二简"/>
          <w:color w:val="36363d"/>
          <w:sz w:val="36"/>
          <w:szCs w:val="36"/>
        </w:rPr>
      </w:pPr>
      <w:r>
        <w:rPr>
          <w:rFonts w:eastAsia="汉仪书宋二简" w:hAnsi="汉仪书宋二简"/>
          <w:b/>
          <w:color w:val="36363d"/>
          <w:sz w:val="36"/>
          <w:szCs w:val="36"/>
        </w:rPr>
        <w:t>宪章态度</w:t>
      </w:r>
      <w:r>
        <w:rPr>
          <w:b/>
          <w:color w:val="36363d"/>
          <w:sz w:val="36"/>
          <w:szCs w:val="36"/>
        </w:rPr>
        <w:t>：</w:t>
      </w:r>
      <w:r>
        <w:rPr>
          <w:rFonts w:eastAsia="汉仪书宋二简" w:hAnsi="汉仪书宋二简"/>
          <w:color w:val="36363d"/>
          <w:sz w:val="36"/>
          <w:szCs w:val="36"/>
        </w:rPr>
        <w:t xml:space="preserve"> 对</w:t>
      </w:r>
      <w:r>
        <w:rPr>
          <w:color w:val="36363d"/>
          <w:sz w:val="36"/>
          <w:szCs w:val="36"/>
        </w:rPr>
        <w:t>“</w:t>
      </w:r>
      <w:r>
        <w:rPr>
          <w:rFonts w:eastAsia="汉仪书宋二简" w:hAnsi="汉仪书宋二简"/>
          <w:color w:val="36363d"/>
          <w:sz w:val="36"/>
          <w:szCs w:val="36"/>
        </w:rPr>
        <w:t>风险</w:t>
      </w:r>
      <w:r>
        <w:rPr>
          <w:color w:val="36363d"/>
          <w:sz w:val="36"/>
          <w:szCs w:val="36"/>
        </w:rPr>
        <w:t>”，</w:t>
      </w:r>
      <w:r>
        <w:rPr>
          <w:rFonts w:eastAsia="汉仪书宋二简" w:hAnsi="汉仪书宋二简"/>
          <w:color w:val="36363d"/>
          <w:sz w:val="36"/>
          <w:szCs w:val="36"/>
        </w:rPr>
        <w:t>在极端情况下</w:t>
      </w:r>
      <w:r>
        <w:rPr>
          <w:color w:val="36363d"/>
          <w:sz w:val="36"/>
          <w:szCs w:val="36"/>
        </w:rPr>
        <w:t>、</w:t>
      </w:r>
      <w:r>
        <w:rPr>
          <w:rFonts w:eastAsia="汉仪书宋二简" w:hAnsi="汉仪书宋二简"/>
          <w:color w:val="36363d"/>
          <w:sz w:val="36"/>
          <w:szCs w:val="36"/>
        </w:rPr>
        <w:t>经严格审查后可接受其风险</w:t>
      </w:r>
      <w:r>
        <w:rPr>
          <w:color w:val="36363d"/>
          <w:sz w:val="36"/>
          <w:szCs w:val="36"/>
        </w:rPr>
        <w:t>；</w:t>
      </w:r>
      <w:r>
        <w:rPr>
          <w:rFonts w:eastAsia="汉仪书宋二简" w:hAnsi="汉仪书宋二简"/>
          <w:color w:val="36363d"/>
          <w:sz w:val="36"/>
          <w:szCs w:val="36"/>
        </w:rPr>
        <w:t>对</w:t>
      </w:r>
      <w:r>
        <w:rPr>
          <w:color w:val="36363d"/>
          <w:sz w:val="36"/>
          <w:szCs w:val="36"/>
        </w:rPr>
        <w:t>“</w:t>
      </w:r>
      <w:r>
        <w:rPr>
          <w:rFonts w:eastAsia="汉仪书宋二简" w:hAnsi="汉仪书宋二简"/>
          <w:color w:val="36363d"/>
          <w:sz w:val="36"/>
          <w:szCs w:val="36"/>
        </w:rPr>
        <w:t>意图</w:t>
      </w:r>
      <w:r>
        <w:rPr>
          <w:color w:val="36363d"/>
          <w:sz w:val="36"/>
          <w:szCs w:val="36"/>
        </w:rPr>
        <w:t>”，</w:t>
      </w:r>
      <w:r>
        <w:rPr>
          <w:rFonts w:eastAsia="汉仪书宋二简" w:hAnsi="汉仪书宋二简"/>
          <w:color w:val="36363d"/>
          <w:sz w:val="36"/>
          <w:szCs w:val="36"/>
        </w:rPr>
        <w:t>绝对否定与禁止</w:t>
      </w:r>
      <w:r>
        <w:rPr>
          <w:color w:val="36363d"/>
          <w:sz w:val="36"/>
          <w:szCs w:val="36"/>
        </w:rPr>
        <w:t>。</w:t>
      </w:r>
    </w:p>
    <w:p w14:paraId="E09F94AE">
      <w:pPr>
        <w:pStyle w:val="style179"/>
        <w:numPr>
          <w:ilvl w:val="0"/>
          <w:numId w:val="2"/>
        </w:numPr>
        <w:spacing w:lineRule="auto" w:line="240"/>
        <w:rPr>
          <w:rFonts w:eastAsia="汉仪书宋二简" w:hAnsi="汉仪书宋二简"/>
          <w:color w:val="36363d"/>
          <w:sz w:val="36"/>
          <w:szCs w:val="36"/>
        </w:rPr>
      </w:pPr>
      <w:r>
        <w:rPr>
          <w:rFonts w:eastAsia="汉仪书宋二简" w:hAnsi="汉仪书宋二简"/>
          <w:b/>
          <w:color w:val="36363d"/>
          <w:sz w:val="36"/>
          <w:szCs w:val="36"/>
        </w:rPr>
        <w:t>条款功能</w:t>
      </w:r>
      <w:r>
        <w:rPr>
          <w:b/>
          <w:color w:val="36363d"/>
          <w:sz w:val="36"/>
          <w:szCs w:val="36"/>
        </w:rPr>
        <w:t>：</w:t>
      </w:r>
      <w:r>
        <w:rPr>
          <w:rFonts w:eastAsia="汉仪书宋二简" w:hAnsi="汉仪书宋二简"/>
          <w:color w:val="36363d"/>
          <w:sz w:val="36"/>
          <w:szCs w:val="36"/>
        </w:rPr>
        <w:t xml:space="preserve"> </w:t>
      </w:r>
      <w:r>
        <w:rPr>
          <w:color w:val="36363d"/>
          <w:sz w:val="36"/>
          <w:szCs w:val="36"/>
        </w:rPr>
        <w:t>“</w:t>
      </w:r>
      <w:r>
        <w:rPr>
          <w:rFonts w:eastAsia="汉仪书宋二简" w:hAnsi="汉仪书宋二简"/>
          <w:color w:val="36363d"/>
          <w:sz w:val="36"/>
          <w:szCs w:val="36"/>
        </w:rPr>
        <w:t>风险</w:t>
      </w:r>
      <w:r>
        <w:rPr>
          <w:color w:val="36363d"/>
          <w:sz w:val="36"/>
          <w:szCs w:val="36"/>
        </w:rPr>
        <w:t>”</w:t>
      </w:r>
      <w:r>
        <w:rPr>
          <w:rFonts w:eastAsia="汉仪书宋二简" w:hAnsi="汉仪书宋二简"/>
          <w:color w:val="36363d"/>
          <w:sz w:val="36"/>
          <w:szCs w:val="36"/>
        </w:rPr>
        <w:t>用于设定不可逾越的风险边界标尺</w:t>
      </w:r>
      <w:r>
        <w:rPr>
          <w:color w:val="36363d"/>
          <w:sz w:val="36"/>
          <w:szCs w:val="36"/>
        </w:rPr>
        <w:t>；“</w:t>
      </w:r>
      <w:r>
        <w:rPr>
          <w:rFonts w:eastAsia="汉仪书宋二简" w:hAnsi="汉仪书宋二简"/>
          <w:color w:val="36363d"/>
          <w:sz w:val="36"/>
          <w:szCs w:val="36"/>
        </w:rPr>
        <w:t>意图</w:t>
      </w:r>
      <w:r>
        <w:rPr>
          <w:color w:val="36363d"/>
          <w:sz w:val="36"/>
          <w:szCs w:val="36"/>
        </w:rPr>
        <w:t>”</w:t>
      </w:r>
      <w:r>
        <w:rPr>
          <w:rFonts w:eastAsia="汉仪书宋二简" w:hAnsi="汉仪书宋二简"/>
          <w:color w:val="36363d"/>
          <w:sz w:val="36"/>
          <w:szCs w:val="36"/>
        </w:rPr>
        <w:t>不存在此等功能</w:t>
      </w:r>
      <w:r>
        <w:rPr>
          <w:color w:val="36363d"/>
          <w:sz w:val="36"/>
          <w:szCs w:val="36"/>
        </w:rPr>
        <w:t>。</w:t>
      </w:r>
    </w:p>
    <w:bookmarkStart w:id="6" w:name="三与主宪章第十四条第十五条之衔接"/>
    <w:p w14:paraId="094C9962">
      <w:pPr>
        <w:pStyle w:val="style4103"/>
        <w:spacing w:lineRule="auto" w:line="240"/>
        <w:rPr>
          <w:rFonts w:eastAsia="汉仪书宋二简"/>
          <w:color w:val="36363d"/>
          <w:sz w:val="40"/>
          <w:szCs w:val="40"/>
        </w:rPr>
      </w:pPr>
      <w:r>
        <w:rPr>
          <w:color w:val="36363d"/>
          <w:sz w:val="40"/>
          <w:szCs w:val="40"/>
        </w:rPr>
        <w:t>（</w:t>
      </w:r>
      <w:r>
        <w:rPr>
          <w:rFonts w:eastAsia="汉仪书宋二简" w:hAnsi="汉仪书宋二简"/>
          <w:color w:val="36363d"/>
          <w:sz w:val="40"/>
          <w:szCs w:val="40"/>
        </w:rPr>
        <w:t>三</w:t>
      </w:r>
      <w:r>
        <w:rPr>
          <w:color w:val="36363d"/>
          <w:sz w:val="40"/>
          <w:szCs w:val="40"/>
        </w:rPr>
        <w:t>）</w:t>
      </w:r>
      <w:r>
        <w:rPr>
          <w:rFonts w:eastAsia="汉仪书宋二简" w:hAnsi="汉仪书宋二简"/>
          <w:color w:val="36363d"/>
          <w:sz w:val="40"/>
          <w:szCs w:val="40"/>
        </w:rPr>
        <w:t>与主宪章第十四条</w:t>
      </w:r>
      <w:r>
        <w:rPr>
          <w:color w:val="36363d"/>
          <w:sz w:val="40"/>
          <w:szCs w:val="40"/>
        </w:rPr>
        <w:t>、</w:t>
      </w:r>
      <w:r>
        <w:rPr>
          <w:rFonts w:eastAsia="汉仪书宋二简"/>
          <w:color w:val="36363d"/>
          <w:sz w:val="40"/>
          <w:szCs w:val="40"/>
        </w:rPr>
        <w:t>第十五条之衔接</w:t>
      </w:r>
      <w:bookmarkEnd w:id="6"/>
    </w:p>
    <w:p w14:paraId="1A453490">
      <w:pPr>
        <w:pStyle w:val="style4097"/>
        <w:spacing w:lineRule="auto" w:line="240"/>
        <w:rPr>
          <w:rFonts w:eastAsia="汉仪书宋二简" w:hAnsi="汉仪书宋二简"/>
          <w:color w:val="36363d"/>
          <w:sz w:val="36"/>
          <w:szCs w:val="36"/>
        </w:rPr>
      </w:pPr>
      <w:r>
        <w:rPr>
          <w:rFonts w:eastAsia="汉仪书宋二简"/>
          <w:color w:val="36363d"/>
          <w:sz w:val="36"/>
          <w:szCs w:val="36"/>
        </w:rPr>
        <w:t>主宪章第十四条明确指出</w:t>
      </w:r>
      <w:r>
        <w:rPr>
          <w:color w:val="36363d"/>
          <w:sz w:val="36"/>
          <w:szCs w:val="36"/>
        </w:rPr>
        <w:t>，</w:t>
      </w:r>
      <w:r>
        <w:rPr>
          <w:rFonts w:eastAsia="汉仪书宋二简" w:hAnsi="汉仪书宋二简"/>
          <w:color w:val="36363d"/>
          <w:sz w:val="36"/>
          <w:szCs w:val="36"/>
        </w:rPr>
        <w:t>人生绝对性人生底线宣示为</w:t>
      </w:r>
      <w:r>
        <w:rPr>
          <w:color w:val="36363d"/>
          <w:sz w:val="36"/>
          <w:szCs w:val="36"/>
        </w:rPr>
        <w:t>“</w:t>
      </w:r>
      <w:r>
        <w:rPr>
          <w:rFonts w:eastAsia="汉仪书宋二简" w:hAnsi="汉仪书宋二简"/>
          <w:b/>
          <w:color w:val="36363d"/>
          <w:sz w:val="36"/>
          <w:szCs w:val="36"/>
        </w:rPr>
        <w:t>特殊非常性手段</w:t>
      </w:r>
      <w:r>
        <w:rPr>
          <w:color w:val="36363d"/>
          <w:sz w:val="36"/>
          <w:szCs w:val="36"/>
        </w:rPr>
        <w:t>”，</w:t>
      </w:r>
      <w:r>
        <w:rPr>
          <w:rFonts w:eastAsia="汉仪书宋二简" w:hAnsi="汉仪书宋二简"/>
          <w:color w:val="36363d"/>
          <w:sz w:val="36"/>
          <w:szCs w:val="36"/>
        </w:rPr>
        <w:t>其地位应当为</w:t>
      </w:r>
      <w:r>
        <w:rPr>
          <w:color w:val="36363d"/>
          <w:sz w:val="36"/>
          <w:szCs w:val="36"/>
        </w:rPr>
        <w:t>“</w:t>
      </w:r>
      <w:r>
        <w:rPr>
          <w:rFonts w:eastAsia="汉仪书宋二简" w:hAnsi="汉仪书宋二简"/>
          <w:b/>
          <w:color w:val="36363d"/>
          <w:sz w:val="36"/>
          <w:szCs w:val="36"/>
        </w:rPr>
        <w:t>过渡性</w:t>
      </w:r>
      <w:r>
        <w:rPr>
          <w:b/>
          <w:color w:val="36363d"/>
          <w:sz w:val="36"/>
          <w:szCs w:val="36"/>
        </w:rPr>
        <w:t>、</w:t>
      </w:r>
      <w:r>
        <w:rPr>
          <w:rFonts w:eastAsia="汉仪书宋二简" w:hAnsi="汉仪书宋二简"/>
          <w:b/>
          <w:color w:val="36363d"/>
          <w:sz w:val="36"/>
          <w:szCs w:val="36"/>
        </w:rPr>
        <w:t>临时性手段</w:t>
      </w:r>
      <w:r>
        <w:rPr>
          <w:color w:val="36363d"/>
          <w:sz w:val="36"/>
          <w:szCs w:val="36"/>
        </w:rPr>
        <w:t>”，</w:t>
      </w:r>
      <w:r>
        <w:rPr>
          <w:rFonts w:eastAsia="汉仪书宋二简" w:hAnsi="汉仪书宋二简"/>
          <w:color w:val="36363d"/>
          <w:sz w:val="36"/>
          <w:szCs w:val="36"/>
        </w:rPr>
        <w:t>不得将该合规上位主义选择作为长期行动策略</w:t>
      </w:r>
      <w:r>
        <w:rPr>
          <w:color w:val="36363d"/>
          <w:sz w:val="36"/>
          <w:szCs w:val="36"/>
        </w:rPr>
        <w:t>、</w:t>
      </w:r>
      <w:r>
        <w:rPr>
          <w:rFonts w:eastAsia="汉仪书宋二简" w:hAnsi="汉仪书宋二简"/>
          <w:color w:val="36363d"/>
          <w:sz w:val="36"/>
          <w:szCs w:val="36"/>
        </w:rPr>
        <w:t>方针</w:t>
      </w:r>
      <w:r>
        <w:rPr>
          <w:color w:val="36363d"/>
          <w:sz w:val="36"/>
          <w:szCs w:val="36"/>
        </w:rPr>
        <w:t>。</w:t>
      </w:r>
    </w:p>
    <w:p w14:paraId="139B684E">
      <w:pPr>
        <w:pStyle w:val="style66"/>
        <w:spacing w:lineRule="auto" w:line="240"/>
        <w:rPr>
          <w:rFonts w:eastAsia="汉仪书宋二简" w:hAnsi="汉仪书宋二简"/>
          <w:color w:val="36363d"/>
          <w:sz w:val="36"/>
          <w:szCs w:val="36"/>
        </w:rPr>
      </w:pPr>
      <w:r>
        <w:rPr>
          <w:rFonts w:eastAsia="汉仪书宋二简" w:hAnsi="汉仪书宋二简"/>
          <w:color w:val="36363d"/>
          <w:sz w:val="36"/>
          <w:szCs w:val="36"/>
        </w:rPr>
        <w:t>主宪章第十五条进一步规定</w:t>
      </w:r>
      <w:r>
        <w:rPr>
          <w:color w:val="36363d"/>
          <w:sz w:val="36"/>
          <w:szCs w:val="36"/>
        </w:rPr>
        <w:t>，</w:t>
      </w:r>
      <w:r>
        <w:rPr>
          <w:rFonts w:eastAsia="汉仪书宋二简" w:hAnsi="汉仪书宋二简"/>
          <w:color w:val="36363d"/>
          <w:sz w:val="36"/>
          <w:szCs w:val="36"/>
        </w:rPr>
        <w:t>该底线适用时应综合衡量其ROI</w:t>
      </w:r>
      <w:r>
        <w:rPr>
          <w:color w:val="36363d"/>
          <w:sz w:val="36"/>
          <w:szCs w:val="36"/>
        </w:rPr>
        <w:t>，</w:t>
      </w:r>
      <w:r>
        <w:rPr>
          <w:rFonts w:eastAsia="汉仪书宋二简" w:hAnsi="汉仪书宋二简"/>
          <w:color w:val="36363d"/>
          <w:sz w:val="36"/>
          <w:szCs w:val="36"/>
        </w:rPr>
        <w:t>充分考虑使用后对自身长远影响</w:t>
      </w:r>
      <w:r>
        <w:rPr>
          <w:color w:val="36363d"/>
          <w:sz w:val="36"/>
          <w:szCs w:val="36"/>
        </w:rPr>
        <w:t>、</w:t>
      </w:r>
      <w:r>
        <w:rPr>
          <w:rFonts w:eastAsia="汉仪书宋二简" w:hAnsi="汉仪书宋二简"/>
          <w:color w:val="36363d"/>
          <w:sz w:val="36"/>
          <w:szCs w:val="36"/>
        </w:rPr>
        <w:t>对核心团队人员</w:t>
      </w:r>
      <w:r>
        <w:rPr>
          <w:color w:val="36363d"/>
          <w:sz w:val="36"/>
          <w:szCs w:val="36"/>
        </w:rPr>
        <w:t>、</w:t>
      </w:r>
      <w:r>
        <w:rPr>
          <w:rFonts w:eastAsia="汉仪书宋二简" w:hAnsi="汉仪书宋二简"/>
          <w:color w:val="36363d"/>
          <w:sz w:val="36"/>
          <w:szCs w:val="36"/>
        </w:rPr>
        <w:t>本人核心资产的影响</w:t>
      </w:r>
      <w:r>
        <w:rPr>
          <w:color w:val="36363d"/>
          <w:sz w:val="36"/>
          <w:szCs w:val="36"/>
        </w:rPr>
        <w:t>，</w:t>
      </w:r>
      <w:r>
        <w:rPr>
          <w:rFonts w:eastAsia="汉仪书宋二简" w:hAnsi="汉仪书宋二简"/>
          <w:color w:val="36363d"/>
          <w:sz w:val="36"/>
          <w:szCs w:val="36"/>
        </w:rPr>
        <w:t>以及可能引起的最大公众负面响应程度</w:t>
      </w:r>
      <w:r>
        <w:rPr>
          <w:color w:val="36363d"/>
          <w:sz w:val="36"/>
          <w:szCs w:val="36"/>
        </w:rPr>
        <w:t>、</w:t>
      </w:r>
      <w:r>
        <w:rPr>
          <w:rFonts w:eastAsia="汉仪书宋二简" w:hAnsi="汉仪书宋二简"/>
          <w:color w:val="36363d"/>
          <w:sz w:val="36"/>
          <w:szCs w:val="36"/>
        </w:rPr>
        <w:t>影响范围等</w:t>
      </w:r>
      <w:r>
        <w:rPr>
          <w:color w:val="36363d"/>
          <w:sz w:val="36"/>
          <w:szCs w:val="36"/>
        </w:rPr>
        <w:t>，</w:t>
      </w:r>
      <w:r>
        <w:rPr>
          <w:rFonts w:eastAsia="汉仪书宋二简" w:hAnsi="汉仪书宋二简"/>
          <w:color w:val="36363d"/>
          <w:sz w:val="36"/>
          <w:szCs w:val="36"/>
        </w:rPr>
        <w:t>并须经合规合法性审查</w:t>
      </w:r>
      <w:r>
        <w:rPr>
          <w:color w:val="36363d"/>
          <w:sz w:val="36"/>
          <w:szCs w:val="36"/>
        </w:rPr>
        <w:t>（</w:t>
      </w:r>
      <w:r>
        <w:rPr>
          <w:rFonts w:eastAsia="汉仪书宋二简" w:hAnsi="汉仪书宋二简"/>
          <w:color w:val="36363d"/>
          <w:sz w:val="36"/>
          <w:szCs w:val="36"/>
        </w:rPr>
        <w:t>尤其是刑事合规性审查</w:t>
      </w:r>
      <w:r>
        <w:rPr>
          <w:color w:val="36363d"/>
          <w:sz w:val="36"/>
          <w:szCs w:val="36"/>
        </w:rPr>
        <w:t>）</w:t>
      </w:r>
      <w:r>
        <w:rPr>
          <w:rFonts w:eastAsia="汉仪书宋二简" w:hAnsi="汉仪书宋二简"/>
          <w:color w:val="36363d"/>
          <w:sz w:val="36"/>
          <w:szCs w:val="36"/>
        </w:rPr>
        <w:t>后适用</w:t>
      </w:r>
      <w:r>
        <w:rPr>
          <w:color w:val="36363d"/>
          <w:sz w:val="36"/>
          <w:szCs w:val="36"/>
        </w:rPr>
        <w:t>，</w:t>
      </w:r>
      <w:r>
        <w:rPr>
          <w:rFonts w:eastAsia="汉仪书宋二简" w:hAnsi="汉仪书宋二简"/>
          <w:color w:val="36363d"/>
          <w:sz w:val="36"/>
          <w:szCs w:val="36"/>
        </w:rPr>
        <w:t>必要时应增加伦理审查环节</w:t>
      </w:r>
      <w:r>
        <w:rPr>
          <w:color w:val="36363d"/>
          <w:sz w:val="36"/>
          <w:szCs w:val="36"/>
        </w:rPr>
        <w:t>。</w:t>
      </w:r>
    </w:p>
    <w:p w14:paraId="F50226AF">
      <w:pPr>
        <w:pStyle w:val="style66"/>
        <w:spacing w:lineRule="auto" w:line="240"/>
        <w:rPr>
          <w:rFonts w:eastAsia="汉仪书宋二简" w:hAnsi="汉仪书宋二简"/>
          <w:color w:val="36363d"/>
          <w:sz w:val="36"/>
          <w:szCs w:val="36"/>
        </w:rPr>
      </w:pPr>
      <w:r>
        <w:rPr>
          <w:rFonts w:eastAsia="汉仪书宋二简" w:hAnsi="汉仪书宋二简"/>
          <w:color w:val="36363d"/>
          <w:sz w:val="36"/>
          <w:szCs w:val="36"/>
        </w:rPr>
        <w:t>上述第十四条</w:t>
      </w:r>
      <w:r>
        <w:rPr>
          <w:color w:val="36363d"/>
          <w:sz w:val="36"/>
          <w:szCs w:val="36"/>
        </w:rPr>
        <w:t>、</w:t>
      </w:r>
      <w:r>
        <w:rPr>
          <w:rFonts w:eastAsia="汉仪书宋二简" w:hAnsi="汉仪书宋二简"/>
          <w:color w:val="36363d"/>
          <w:sz w:val="36"/>
          <w:szCs w:val="36"/>
        </w:rPr>
        <w:t>第十五条的规定进一步印证</w:t>
      </w:r>
      <w:r>
        <w:rPr>
          <w:color w:val="36363d"/>
          <w:sz w:val="36"/>
          <w:szCs w:val="36"/>
        </w:rPr>
        <w:t>：</w:t>
      </w:r>
      <w:r>
        <w:rPr>
          <w:rFonts w:eastAsia="汉仪书宋二简" w:hAnsi="汉仪书宋二简"/>
          <w:color w:val="36363d"/>
          <w:sz w:val="36"/>
          <w:szCs w:val="36"/>
        </w:rPr>
        <w:t>本宪章体系对</w:t>
      </w:r>
      <w:r>
        <w:rPr>
          <w:color w:val="36363d"/>
          <w:sz w:val="36"/>
          <w:szCs w:val="36"/>
        </w:rPr>
        <w:t>“</w:t>
      </w:r>
      <w:r>
        <w:rPr>
          <w:rFonts w:eastAsia="汉仪书宋二简" w:hAnsi="汉仪书宋二简"/>
          <w:color w:val="36363d"/>
          <w:sz w:val="36"/>
          <w:szCs w:val="36"/>
        </w:rPr>
        <w:t>七年以上有期徒刑</w:t>
      </w:r>
      <w:r>
        <w:rPr>
          <w:color w:val="36363d"/>
          <w:sz w:val="36"/>
          <w:szCs w:val="36"/>
        </w:rPr>
        <w:t>”</w:t>
      </w:r>
      <w:r>
        <w:rPr>
          <w:rFonts w:eastAsia="汉仪书宋二简" w:hAnsi="汉仪书宋二简"/>
          <w:color w:val="36363d"/>
          <w:sz w:val="36"/>
          <w:szCs w:val="36"/>
        </w:rPr>
        <w:t>等刑罚量级的引用</w:t>
      </w:r>
      <w:r>
        <w:rPr>
          <w:color w:val="36363d"/>
          <w:sz w:val="36"/>
          <w:szCs w:val="36"/>
        </w:rPr>
        <w:t>，</w:t>
      </w:r>
      <w:r>
        <w:rPr>
          <w:rFonts w:eastAsia="汉仪书宋二简" w:hAnsi="汉仪书宋二简"/>
          <w:color w:val="36363d"/>
          <w:sz w:val="36"/>
          <w:szCs w:val="36"/>
        </w:rPr>
        <w:t>系以</w:t>
      </w:r>
      <w:r>
        <w:rPr>
          <w:rFonts w:eastAsia="汉仪书宋二简" w:hAnsi="汉仪书宋二简"/>
          <w:b/>
          <w:color w:val="36363d"/>
          <w:sz w:val="36"/>
          <w:szCs w:val="36"/>
        </w:rPr>
        <w:t>风险管控</w:t>
      </w:r>
      <w:r>
        <w:rPr>
          <w:rFonts w:eastAsia="汉仪书宋二简" w:hAnsi="汉仪书宋二简"/>
          <w:color w:val="36363d"/>
          <w:sz w:val="36"/>
          <w:szCs w:val="36"/>
        </w:rPr>
        <w:t>为核心制度逻辑</w:t>
      </w:r>
      <w:r>
        <w:rPr>
          <w:color w:val="36363d"/>
          <w:sz w:val="36"/>
          <w:szCs w:val="36"/>
        </w:rPr>
        <w:t>，</w:t>
      </w:r>
      <w:r>
        <w:rPr>
          <w:rFonts w:eastAsia="汉仪书宋二简" w:hAnsi="汉仪书宋二简"/>
          <w:color w:val="36363d"/>
          <w:sz w:val="36"/>
          <w:szCs w:val="36"/>
        </w:rPr>
        <w:t>而非以犯罪实施为意图</w:t>
      </w:r>
      <w:r>
        <w:rPr>
          <w:color w:val="36363d"/>
          <w:sz w:val="36"/>
          <w:szCs w:val="36"/>
        </w:rPr>
        <w:t>。</w:t>
      </w:r>
      <w:r>
        <w:rPr>
          <w:rFonts w:eastAsia="汉仪书宋二简" w:hAnsi="汉仪书宋二简"/>
          <w:color w:val="36363d"/>
          <w:sz w:val="36"/>
          <w:szCs w:val="36"/>
        </w:rPr>
        <w:t>若系以犯罪为目的</w:t>
      </w:r>
      <w:r>
        <w:rPr>
          <w:color w:val="36363d"/>
          <w:sz w:val="36"/>
          <w:szCs w:val="36"/>
        </w:rPr>
        <w:t>，</w:t>
      </w:r>
      <w:r>
        <w:rPr>
          <w:rFonts w:eastAsia="汉仪书宋二简" w:hAnsi="汉仪书宋二简"/>
          <w:color w:val="36363d"/>
          <w:sz w:val="36"/>
          <w:szCs w:val="36"/>
        </w:rPr>
        <w:t>则无需设定</w:t>
      </w:r>
      <w:r>
        <w:rPr>
          <w:color w:val="36363d"/>
          <w:sz w:val="36"/>
          <w:szCs w:val="36"/>
        </w:rPr>
        <w:t>“</w:t>
      </w:r>
      <w:r>
        <w:rPr>
          <w:rFonts w:eastAsia="汉仪书宋二简" w:hAnsi="汉仪书宋二简"/>
          <w:color w:val="36363d"/>
          <w:sz w:val="36"/>
          <w:szCs w:val="36"/>
        </w:rPr>
        <w:t>过渡性</w:t>
      </w:r>
      <w:r>
        <w:rPr>
          <w:color w:val="36363d"/>
          <w:sz w:val="36"/>
          <w:szCs w:val="36"/>
        </w:rPr>
        <w:t>”“</w:t>
      </w:r>
      <w:r>
        <w:rPr>
          <w:rFonts w:eastAsia="汉仪书宋二简" w:hAnsi="汉仪书宋二简"/>
          <w:color w:val="36363d"/>
          <w:sz w:val="36"/>
          <w:szCs w:val="36"/>
        </w:rPr>
        <w:t>临时性</w:t>
      </w:r>
      <w:r>
        <w:rPr>
          <w:color w:val="36363d"/>
          <w:sz w:val="36"/>
          <w:szCs w:val="36"/>
        </w:rPr>
        <w:t>”</w:t>
      </w:r>
      <w:r>
        <w:rPr>
          <w:rFonts w:eastAsia="汉仪书宋二简" w:hAnsi="汉仪书宋二简"/>
          <w:color w:val="36363d"/>
          <w:sz w:val="36"/>
          <w:szCs w:val="36"/>
        </w:rPr>
        <w:t>之地位限制</w:t>
      </w:r>
      <w:r>
        <w:rPr>
          <w:color w:val="36363d"/>
          <w:sz w:val="36"/>
          <w:szCs w:val="36"/>
        </w:rPr>
        <w:t>，</w:t>
      </w:r>
      <w:r>
        <w:rPr>
          <w:rFonts w:eastAsia="汉仪书宋二简" w:hAnsi="汉仪书宋二简"/>
          <w:color w:val="36363d"/>
          <w:sz w:val="36"/>
          <w:szCs w:val="36"/>
        </w:rPr>
        <w:t>亦无需设定ROI评估</w:t>
      </w:r>
      <w:r>
        <w:rPr>
          <w:color w:val="36363d"/>
          <w:sz w:val="36"/>
          <w:szCs w:val="36"/>
        </w:rPr>
        <w:t>、</w:t>
      </w:r>
      <w:r>
        <w:rPr>
          <w:rFonts w:eastAsia="汉仪书宋二简" w:hAnsi="汉仪书宋二简"/>
          <w:color w:val="36363d"/>
          <w:sz w:val="36"/>
          <w:szCs w:val="36"/>
        </w:rPr>
        <w:t>合规审查</w:t>
      </w:r>
      <w:r>
        <w:rPr>
          <w:color w:val="36363d"/>
          <w:sz w:val="36"/>
          <w:szCs w:val="36"/>
        </w:rPr>
        <w:t>、</w:t>
      </w:r>
      <w:r>
        <w:rPr>
          <w:rFonts w:eastAsia="汉仪书宋二简" w:hAnsi="汉仪书宋二简"/>
          <w:color w:val="36363d"/>
          <w:sz w:val="36"/>
          <w:szCs w:val="36"/>
        </w:rPr>
        <w:t>伦理审查等多层程序性保障机制</w:t>
      </w:r>
      <w:r>
        <w:rPr>
          <w:color w:val="36363d"/>
          <w:sz w:val="36"/>
          <w:szCs w:val="36"/>
        </w:rPr>
        <w:t>。</w:t>
      </w:r>
    </w:p>
    <w:bookmarkStart w:id="7" w:name="四结论性阐释"/>
    <w:p w14:paraId="06CA1F54">
      <w:pPr>
        <w:pStyle w:val="style4103"/>
        <w:spacing w:lineRule="auto" w:line="240"/>
        <w:rPr>
          <w:rFonts w:eastAsia="汉仪书宋二简"/>
          <w:color w:val="36363d"/>
          <w:sz w:val="40"/>
          <w:szCs w:val="40"/>
        </w:rPr>
      </w:pPr>
      <w:r>
        <w:rPr>
          <w:color w:val="36363d"/>
          <w:sz w:val="40"/>
          <w:szCs w:val="40"/>
        </w:rPr>
        <w:t>（</w:t>
      </w:r>
      <w:r>
        <w:rPr>
          <w:rFonts w:eastAsia="汉仪书宋二简" w:hAnsi="汉仪书宋二简"/>
          <w:color w:val="36363d"/>
          <w:sz w:val="40"/>
          <w:szCs w:val="40"/>
        </w:rPr>
        <w:t>四</w:t>
      </w:r>
      <w:r>
        <w:rPr>
          <w:color w:val="36363d"/>
          <w:sz w:val="40"/>
          <w:szCs w:val="40"/>
        </w:rPr>
        <w:t>）</w:t>
      </w:r>
      <w:r>
        <w:rPr>
          <w:rFonts w:eastAsia="汉仪书宋二简"/>
          <w:color w:val="36363d"/>
          <w:sz w:val="40"/>
          <w:szCs w:val="40"/>
        </w:rPr>
        <w:t>结论性阐释</w:t>
      </w:r>
      <w:bookmarkEnd w:id="7"/>
    </w:p>
    <w:p w14:paraId="5BBF35E0">
      <w:pPr>
        <w:pStyle w:val="style4097"/>
        <w:spacing w:lineRule="auto" w:line="240"/>
        <w:rPr>
          <w:rFonts w:eastAsia="汉仪书宋二简" w:hAnsi="汉仪书宋二简"/>
          <w:color w:val="36363d"/>
          <w:sz w:val="36"/>
          <w:szCs w:val="36"/>
        </w:rPr>
      </w:pPr>
      <w:r>
        <w:rPr>
          <w:rFonts w:eastAsia="汉仪书宋二简"/>
          <w:color w:val="36363d"/>
          <w:sz w:val="36"/>
          <w:szCs w:val="36"/>
        </w:rPr>
        <w:t>综上</w:t>
      </w:r>
      <w:r>
        <w:rPr>
          <w:color w:val="36363d"/>
          <w:sz w:val="36"/>
          <w:szCs w:val="36"/>
        </w:rPr>
        <w:t>，</w:t>
      </w:r>
      <w:r>
        <w:rPr>
          <w:rFonts w:eastAsia="汉仪书宋二简" w:hAnsi="汉仪书宋二简"/>
          <w:color w:val="36363d"/>
          <w:sz w:val="36"/>
          <w:szCs w:val="36"/>
        </w:rPr>
        <w:t>主宪章第十二条</w:t>
      </w:r>
      <w:r>
        <w:rPr>
          <w:color w:val="36363d"/>
          <w:sz w:val="36"/>
          <w:szCs w:val="36"/>
        </w:rPr>
        <w:t>、</w:t>
      </w:r>
      <w:r>
        <w:rPr>
          <w:rFonts w:eastAsia="汉仪书宋二简" w:hAnsi="汉仪书宋二简"/>
          <w:color w:val="36363d"/>
          <w:sz w:val="36"/>
          <w:szCs w:val="36"/>
        </w:rPr>
        <w:t>第十三条及附件A.07.001第五条中关于</w:t>
      </w:r>
      <w:r>
        <w:rPr>
          <w:color w:val="36363d"/>
          <w:sz w:val="36"/>
          <w:szCs w:val="36"/>
        </w:rPr>
        <w:t>“</w:t>
      </w:r>
      <w:r>
        <w:rPr>
          <w:rFonts w:eastAsia="汉仪书宋二简" w:hAnsi="汉仪书宋二简"/>
          <w:color w:val="36363d"/>
          <w:sz w:val="36"/>
          <w:szCs w:val="36"/>
        </w:rPr>
        <w:t>七年以上有期徒刑</w:t>
      </w:r>
      <w:r>
        <w:rPr>
          <w:color w:val="36363d"/>
          <w:sz w:val="36"/>
          <w:szCs w:val="36"/>
        </w:rPr>
        <w:t>”</w:t>
      </w:r>
      <w:r>
        <w:rPr>
          <w:rFonts w:eastAsia="汉仪书宋二简" w:hAnsi="汉仪书宋二简"/>
          <w:color w:val="36363d"/>
          <w:sz w:val="36"/>
          <w:szCs w:val="36"/>
        </w:rPr>
        <w:t>等刑罚量级表述的真实含义为</w:t>
      </w:r>
      <w:r>
        <w:rPr>
          <w:color w:val="36363d"/>
          <w:sz w:val="36"/>
          <w:szCs w:val="36"/>
        </w:rPr>
        <w:t>：</w:t>
      </w:r>
    </w:p>
    <w:p w14:paraId="CCB112C5">
      <w:pPr>
        <w:pStyle w:val="style66"/>
        <w:spacing w:lineRule="auto" w:line="240"/>
        <w:rPr>
          <w:rFonts w:eastAsia="汉仪书宋二简"/>
          <w:color w:val="36363d"/>
          <w:sz w:val="36"/>
          <w:szCs w:val="36"/>
        </w:rPr>
      </w:pPr>
      <w:r>
        <w:rPr>
          <w:rFonts w:eastAsia="汉仪书宋二简" w:hAnsi="汉仪书宋二简"/>
          <w:b/>
          <w:color w:val="36363d"/>
          <w:sz w:val="36"/>
          <w:szCs w:val="36"/>
        </w:rPr>
        <w:t>该等刑罚量级系作为行为风险之边界标尺而引用</w:t>
      </w:r>
      <w:r>
        <w:rPr>
          <w:b/>
          <w:color w:val="36363d"/>
          <w:sz w:val="36"/>
          <w:szCs w:val="36"/>
        </w:rPr>
        <w:t>，</w:t>
      </w:r>
      <w:r>
        <w:rPr>
          <w:rFonts w:eastAsia="汉仪书宋二简" w:hAnsi="汉仪书宋二简"/>
          <w:b/>
          <w:color w:val="36363d"/>
          <w:sz w:val="36"/>
          <w:szCs w:val="36"/>
        </w:rPr>
        <w:t>意指某一行为如果实施</w:t>
      </w:r>
      <w:r>
        <w:rPr>
          <w:b/>
          <w:color w:val="36363d"/>
          <w:sz w:val="36"/>
          <w:szCs w:val="36"/>
        </w:rPr>
        <w:t>，</w:t>
      </w:r>
      <w:r>
        <w:rPr>
          <w:rFonts w:eastAsia="汉仪书宋二简" w:hAnsi="汉仪书宋二简"/>
          <w:b/>
          <w:color w:val="36363d"/>
          <w:sz w:val="36"/>
          <w:szCs w:val="36"/>
        </w:rPr>
        <w:t>在特定情况下存在构成该等犯罪之风险或较大之风险</w:t>
      </w:r>
      <w:r>
        <w:rPr>
          <w:b/>
          <w:color w:val="36363d"/>
          <w:sz w:val="36"/>
          <w:szCs w:val="36"/>
        </w:rPr>
        <w:t>，</w:t>
      </w:r>
      <w:r>
        <w:rPr>
          <w:rFonts w:eastAsia="汉仪书宋二简" w:hAnsi="汉仪书宋二简"/>
          <w:b/>
          <w:color w:val="36363d"/>
          <w:sz w:val="36"/>
          <w:szCs w:val="36"/>
        </w:rPr>
        <w:t>宪章制定行为人以该等刑罚量级为自身设定不可逾越的风险边界</w:t>
      </w:r>
      <w:r>
        <w:rPr>
          <w:b/>
          <w:color w:val="36363d"/>
          <w:sz w:val="36"/>
          <w:szCs w:val="36"/>
        </w:rPr>
        <w:t>，</w:t>
      </w:r>
      <w:r>
        <w:rPr>
          <w:rFonts w:eastAsia="汉仪书宋二简" w:hAnsi="汉仪书宋二简"/>
          <w:b/>
          <w:color w:val="36363d"/>
          <w:sz w:val="36"/>
          <w:szCs w:val="36"/>
        </w:rPr>
        <w:t>并在极端情况下经严格审查程序后可接受有限度之风险</w:t>
      </w:r>
      <w:r>
        <w:rPr>
          <w:b/>
          <w:color w:val="36363d"/>
          <w:sz w:val="36"/>
          <w:szCs w:val="36"/>
        </w:rPr>
        <w:t>。</w:t>
      </w:r>
      <w:r>
        <w:rPr>
          <w:rFonts w:eastAsia="汉仪书宋二简" w:hAnsi="汉仪书宋二简"/>
          <w:b/>
          <w:color w:val="36363d"/>
          <w:sz w:val="36"/>
          <w:szCs w:val="36"/>
        </w:rPr>
        <w:t>该等表述绝不意味着宪章制定行为人以实施犯罪为目的</w:t>
      </w:r>
      <w:r>
        <w:rPr>
          <w:b/>
          <w:color w:val="36363d"/>
          <w:sz w:val="36"/>
          <w:szCs w:val="36"/>
        </w:rPr>
        <w:t>、</w:t>
      </w:r>
      <w:r>
        <w:rPr>
          <w:rFonts w:eastAsia="汉仪书宋二简" w:hAnsi="汉仪书宋二简"/>
          <w:b/>
          <w:color w:val="36363d"/>
          <w:sz w:val="36"/>
          <w:szCs w:val="36"/>
        </w:rPr>
        <w:t>以受到刑事处罚为追求</w:t>
      </w:r>
      <w:r>
        <w:rPr>
          <w:b/>
          <w:color w:val="36363d"/>
          <w:sz w:val="36"/>
          <w:szCs w:val="36"/>
        </w:rPr>
        <w:t>。</w:t>
      </w:r>
    </w:p>
    <w:bookmarkStart w:id="8" w:name="三效力条款"/>
    <w:p w14:paraId="780F617D">
      <w:pPr>
        <w:pStyle w:val="style4102"/>
        <w:spacing w:lineRule="auto" w:line="240"/>
        <w:rPr>
          <w:rFonts w:eastAsia="汉仪书宋二简"/>
          <w:color w:val="36363d"/>
          <w:sz w:val="44"/>
          <w:szCs w:val="44"/>
        </w:rPr>
      </w:pPr>
      <w:r>
        <w:rPr>
          <w:rFonts w:eastAsia="汉仪书宋二简"/>
          <w:color w:val="36363d"/>
          <w:sz w:val="44"/>
          <w:szCs w:val="44"/>
        </w:rPr>
        <w:t>三</w:t>
      </w:r>
      <w:r>
        <w:rPr>
          <w:color w:val="36363d"/>
          <w:sz w:val="44"/>
          <w:szCs w:val="44"/>
        </w:rPr>
        <w:t>、</w:t>
      </w:r>
      <w:r>
        <w:rPr>
          <w:rFonts w:eastAsia="汉仪书宋二简"/>
          <w:color w:val="36363d"/>
          <w:sz w:val="44"/>
          <w:szCs w:val="44"/>
        </w:rPr>
        <w:t>效力条款</w:t>
      </w:r>
      <w:bookmarkEnd w:id="8"/>
    </w:p>
    <w:p w14:paraId="9894190A">
      <w:pPr>
        <w:pStyle w:val="style4097"/>
        <w:spacing w:lineRule="auto" w:line="240"/>
        <w:rPr>
          <w:rFonts w:eastAsia="汉仪书宋二简" w:hAnsi="汉仪书宋二简"/>
          <w:color w:val="36363d"/>
          <w:sz w:val="36"/>
          <w:szCs w:val="36"/>
        </w:rPr>
      </w:pPr>
      <w:r>
        <w:rPr>
          <w:rFonts w:eastAsia="汉仪书宋二简"/>
          <w:b/>
          <w:color w:val="36363d"/>
          <w:sz w:val="36"/>
          <w:szCs w:val="36"/>
        </w:rPr>
        <w:t>1.</w:t>
      </w:r>
      <w:r>
        <w:rPr>
          <w:rFonts w:eastAsia="汉仪书宋二简"/>
          <w:color w:val="36363d"/>
          <w:sz w:val="36"/>
          <w:szCs w:val="36"/>
        </w:rPr>
        <w:t xml:space="preserve"> 本阐释函为对主宪章第十二条</w:t>
      </w:r>
      <w:r>
        <w:rPr>
          <w:color w:val="36363d"/>
          <w:sz w:val="36"/>
          <w:szCs w:val="36"/>
        </w:rPr>
        <w:t>、</w:t>
      </w:r>
      <w:r>
        <w:rPr>
          <w:rFonts w:eastAsia="汉仪书宋二简" w:hAnsi="汉仪书宋二简"/>
          <w:color w:val="36363d"/>
          <w:sz w:val="36"/>
          <w:szCs w:val="36"/>
        </w:rPr>
        <w:t>第十三条及附件A.07.001第五条之权威性解释</w:t>
      </w:r>
      <w:r>
        <w:rPr>
          <w:color w:val="36363d"/>
          <w:sz w:val="36"/>
          <w:szCs w:val="36"/>
        </w:rPr>
        <w:t>，</w:t>
      </w:r>
      <w:r>
        <w:rPr>
          <w:rFonts w:eastAsia="汉仪书宋二简" w:hAnsi="汉仪书宋二简"/>
          <w:color w:val="36363d"/>
          <w:sz w:val="36"/>
          <w:szCs w:val="36"/>
        </w:rPr>
        <w:t>与主宪章具有同等效力</w:t>
      </w:r>
      <w:r>
        <w:rPr>
          <w:color w:val="36363d"/>
          <w:sz w:val="36"/>
          <w:szCs w:val="36"/>
        </w:rPr>
        <w:t>，</w:t>
      </w:r>
      <w:r>
        <w:rPr>
          <w:rFonts w:eastAsia="汉仪书宋二简" w:hAnsi="汉仪书宋二简"/>
          <w:color w:val="36363d"/>
          <w:sz w:val="36"/>
          <w:szCs w:val="36"/>
        </w:rPr>
        <w:t>自本宪章主宪章生效之日起溯及适用</w:t>
      </w:r>
      <w:r>
        <w:rPr>
          <w:color w:val="36363d"/>
          <w:sz w:val="36"/>
          <w:szCs w:val="36"/>
        </w:rPr>
        <w:t>。</w:t>
      </w:r>
    </w:p>
    <w:p w14:paraId="138B1209">
      <w:pPr>
        <w:pStyle w:val="style66"/>
        <w:spacing w:lineRule="auto" w:line="240"/>
        <w:rPr>
          <w:rFonts w:eastAsia="汉仪书宋二简" w:hAnsi="汉仪书宋二简"/>
          <w:color w:val="36363d"/>
          <w:sz w:val="36"/>
          <w:szCs w:val="36"/>
        </w:rPr>
      </w:pPr>
      <w:r>
        <w:rPr>
          <w:rFonts w:eastAsia="汉仪书宋二简" w:hAnsi="汉仪书宋二简"/>
          <w:b/>
          <w:color w:val="36363d"/>
          <w:sz w:val="36"/>
          <w:szCs w:val="36"/>
        </w:rPr>
        <w:t>2.</w:t>
      </w:r>
      <w:r>
        <w:rPr>
          <w:rFonts w:eastAsia="汉仪书宋二简" w:hAnsi="汉仪书宋二简"/>
          <w:color w:val="36363d"/>
          <w:sz w:val="36"/>
          <w:szCs w:val="36"/>
        </w:rPr>
        <w:t xml:space="preserve"> 本阐释函的解释权归宪章制定行为人所有</w:t>
      </w:r>
      <w:r>
        <w:rPr>
          <w:color w:val="36363d"/>
          <w:sz w:val="36"/>
          <w:szCs w:val="36"/>
        </w:rPr>
        <w:t>。</w:t>
      </w:r>
    </w:p>
    <w:p w14:paraId="CA8AED10">
      <w:pPr>
        <w:pStyle w:val="style66"/>
        <w:spacing w:lineRule="auto" w:line="240"/>
        <w:rPr>
          <w:rFonts w:eastAsia="汉仪书宋二简" w:hAnsi="汉仪书宋二简"/>
          <w:color w:val="36363d"/>
          <w:sz w:val="36"/>
          <w:szCs w:val="36"/>
        </w:rPr>
      </w:pPr>
      <w:r>
        <w:rPr>
          <w:rFonts w:eastAsia="汉仪书宋二简" w:hAnsi="汉仪书宋二简"/>
          <w:b/>
          <w:color w:val="36363d"/>
          <w:sz w:val="36"/>
          <w:szCs w:val="36"/>
        </w:rPr>
        <w:t>3.</w:t>
      </w:r>
      <w:r>
        <w:rPr>
          <w:rFonts w:eastAsia="汉仪书宋二简" w:hAnsi="汉仪书宋二简"/>
          <w:color w:val="36363d"/>
          <w:sz w:val="36"/>
          <w:szCs w:val="36"/>
        </w:rPr>
        <w:t xml:space="preserve"> 如本阐释函与主宪章</w:t>
      </w:r>
      <w:r>
        <w:rPr>
          <w:color w:val="36363d"/>
          <w:sz w:val="36"/>
          <w:szCs w:val="36"/>
        </w:rPr>
        <w:t>、</w:t>
      </w:r>
      <w:r>
        <w:rPr>
          <w:rFonts w:eastAsia="汉仪书宋二简" w:hAnsi="汉仪书宋二简"/>
          <w:color w:val="36363d"/>
          <w:sz w:val="36"/>
          <w:szCs w:val="36"/>
        </w:rPr>
        <w:t>修正案及附件体系之其他条款产生冲突</w:t>
      </w:r>
      <w:r>
        <w:rPr>
          <w:color w:val="36363d"/>
          <w:sz w:val="36"/>
          <w:szCs w:val="36"/>
        </w:rPr>
        <w:t>，</w:t>
      </w:r>
      <w:r>
        <w:rPr>
          <w:rFonts w:eastAsia="汉仪书宋二简" w:hAnsi="汉仪书宋二简"/>
          <w:color w:val="36363d"/>
          <w:sz w:val="36"/>
          <w:szCs w:val="36"/>
        </w:rPr>
        <w:t>以主宪章</w:t>
      </w:r>
      <w:r>
        <w:rPr>
          <w:color w:val="36363d"/>
          <w:sz w:val="36"/>
          <w:szCs w:val="36"/>
        </w:rPr>
        <w:t>、</w:t>
      </w:r>
      <w:r>
        <w:rPr>
          <w:rFonts w:eastAsia="汉仪书宋二简" w:hAnsi="汉仪书宋二简"/>
          <w:color w:val="36363d"/>
          <w:sz w:val="36"/>
          <w:szCs w:val="36"/>
        </w:rPr>
        <w:t>修正案及附件体系之原文为准</w:t>
      </w:r>
      <w:r>
        <w:rPr>
          <w:color w:val="36363d"/>
          <w:sz w:val="36"/>
          <w:szCs w:val="36"/>
        </w:rPr>
        <w:t>；</w:t>
      </w:r>
      <w:r>
        <w:rPr>
          <w:rFonts w:eastAsia="汉仪书宋二简" w:hAnsi="汉仪书宋二简"/>
          <w:color w:val="36363d"/>
          <w:sz w:val="36"/>
          <w:szCs w:val="36"/>
        </w:rPr>
        <w:t>本阐释函仅对原文含义进行澄清</w:t>
      </w:r>
      <w:r>
        <w:rPr>
          <w:color w:val="36363d"/>
          <w:sz w:val="36"/>
          <w:szCs w:val="36"/>
        </w:rPr>
        <w:t>，</w:t>
      </w:r>
      <w:r>
        <w:rPr>
          <w:rFonts w:eastAsia="汉仪书宋二简" w:hAnsi="汉仪书宋二简"/>
          <w:color w:val="36363d"/>
          <w:sz w:val="36"/>
          <w:szCs w:val="36"/>
        </w:rPr>
        <w:t>不构成对原文的修改或变更</w:t>
      </w:r>
      <w:r>
        <w:rPr>
          <w:color w:val="36363d"/>
          <w:sz w:val="36"/>
          <w:szCs w:val="36"/>
        </w:rPr>
        <w:t>。</w:t>
      </w:r>
    </w:p>
    <w:p w14:paraId="BDE56279">
      <w:pPr>
        <w:pStyle w:val="style66"/>
        <w:spacing w:lineRule="auto" w:line="240"/>
        <w:rPr>
          <w:rFonts w:eastAsia="汉仪书宋二简" w:hAnsi="汉仪书宋二简" w:hint="eastAsia"/>
          <w:color w:val="36363d"/>
          <w:sz w:val="36"/>
          <w:szCs w:val="36"/>
          <w:lang w:eastAsia="zh-CN"/>
        </w:rPr>
      </w:pPr>
      <w:r>
        <w:rPr>
          <w:rFonts w:eastAsia="汉仪书宋二简" w:hAnsi="汉仪书宋二简"/>
          <w:b/>
          <w:color w:val="36363d"/>
          <w:sz w:val="36"/>
          <w:szCs w:val="36"/>
        </w:rPr>
        <w:t>4.</w:t>
      </w:r>
      <w:r>
        <w:rPr>
          <w:rFonts w:eastAsia="汉仪书宋二简" w:hAnsi="汉仪书宋二简"/>
          <w:color w:val="36363d"/>
          <w:sz w:val="36"/>
          <w:szCs w:val="36"/>
        </w:rPr>
        <w:t xml:space="preserve"> 本阐释函为阐释函系列第一号</w:t>
      </w:r>
      <w:r>
        <w:rPr>
          <w:color w:val="36363d"/>
          <w:sz w:val="36"/>
          <w:szCs w:val="36"/>
        </w:rPr>
        <w:t>（</w:t>
      </w:r>
      <w:r>
        <w:rPr>
          <w:rFonts w:eastAsia="汉仪书宋二简" w:hAnsi="汉仪书宋二简"/>
          <w:color w:val="36363d"/>
          <w:sz w:val="36"/>
          <w:szCs w:val="36"/>
        </w:rPr>
        <w:t>H系列</w:t>
      </w:r>
      <w:r>
        <w:rPr>
          <w:color w:val="36363d"/>
          <w:sz w:val="36"/>
          <w:szCs w:val="36"/>
        </w:rPr>
        <w:t>），</w:t>
      </w:r>
      <w:r>
        <w:rPr>
          <w:rFonts w:hint="eastAsia"/>
          <w:color w:val="36363d"/>
          <w:sz w:val="36"/>
          <w:szCs w:val="36"/>
          <w:lang w:eastAsia="zh-CN"/>
        </w:rPr>
        <w:t>。</w:t>
      </w:r>
    </w:p>
    <w:p w14:paraId="BE6A8464">
      <w:pPr>
        <w:pStyle w:val="style66"/>
        <w:spacing w:lineRule="auto" w:line="240"/>
        <w:rPr>
          <w:rFonts w:eastAsia="汉仪书宋二简" w:hAnsi="汉仪书宋二简"/>
          <w:color w:val="36363d"/>
          <w:sz w:val="36"/>
          <w:szCs w:val="36"/>
        </w:rPr>
      </w:pPr>
      <w:r>
        <w:rPr>
          <w:rFonts w:eastAsia="汉仪书宋二简" w:hAnsi="汉仪书宋二简" w:hint="default"/>
          <w:b/>
          <w:bCs/>
          <w:color w:val="36363d"/>
          <w:sz w:val="36"/>
          <w:szCs w:val="36"/>
          <w:lang w:val="en-US" w:eastAsia="zh-CN"/>
        </w:rPr>
        <w:t>5</w:t>
      </w:r>
      <w:r>
        <w:rPr>
          <w:rFonts w:eastAsia="汉仪书宋二简" w:hAnsi="汉仪书宋二简" w:hint="default"/>
          <w:color w:val="36363d"/>
          <w:sz w:val="36"/>
          <w:szCs w:val="36"/>
          <w:lang w:val="en-US" w:eastAsia="zh-CN"/>
        </w:rPr>
        <w:t xml:space="preserve">. </w:t>
      </w:r>
      <w:r>
        <w:rPr>
          <w:rFonts w:eastAsia="汉仪书宋二简" w:hAnsi="汉仪书宋二简"/>
          <w:color w:val="36363d"/>
          <w:sz w:val="36"/>
          <w:szCs w:val="36"/>
        </w:rPr>
        <w:t>后续如需发布其他阐释函</w:t>
      </w:r>
      <w:r>
        <w:rPr>
          <w:color w:val="36363d"/>
          <w:sz w:val="36"/>
          <w:szCs w:val="36"/>
        </w:rPr>
        <w:t>，</w:t>
      </w:r>
      <w:r>
        <w:rPr>
          <w:rFonts w:eastAsia="汉仪书宋二简" w:hAnsi="汉仪书宋二简"/>
          <w:color w:val="36363d"/>
          <w:sz w:val="36"/>
          <w:szCs w:val="36"/>
        </w:rPr>
        <w:t>按序编号</w:t>
      </w:r>
      <w:r>
        <w:rPr>
          <w:color w:val="36363d"/>
          <w:sz w:val="36"/>
          <w:szCs w:val="36"/>
        </w:rPr>
        <w:t>。</w:t>
      </w:r>
    </w:p>
    <w:p w14:paraId="A81D6438">
      <w:pPr>
        <w:pStyle w:val="style66"/>
        <w:spacing w:lineRule="auto" w:line="240"/>
        <w:rPr>
          <w:rFonts w:eastAsia="汉仪书宋二简" w:hAnsi="汉仪书宋二简"/>
          <w:b/>
          <w:color w:val="36363d"/>
          <w:sz w:val="36"/>
          <w:szCs w:val="36"/>
        </w:rPr>
      </w:pPr>
    </w:p>
    <w:p w14:paraId="DB190406">
      <w:pPr>
        <w:pStyle w:val="style66"/>
        <w:spacing w:lineRule="auto" w:line="240"/>
        <w:rPr>
          <w:rFonts w:eastAsia="汉仪书宋二简" w:hAnsi="汉仪书宋二简"/>
          <w:b/>
          <w:color w:val="36363d"/>
          <w:sz w:val="36"/>
          <w:szCs w:val="36"/>
        </w:rPr>
      </w:pPr>
      <w:r>
        <w:rPr>
          <w:rFonts w:eastAsia="汉仪书宋二简" w:hAnsi="汉仪书宋二简"/>
          <w:b/>
          <w:color w:val="36363d"/>
          <w:sz w:val="36"/>
          <w:szCs w:val="36"/>
        </w:rPr>
        <w:t>宪章制定行为人</w:t>
      </w:r>
      <w:r>
        <w:rPr>
          <w:b/>
          <w:color w:val="36363d"/>
          <w:sz w:val="36"/>
          <w:szCs w:val="36"/>
        </w:rPr>
        <w:t>：</w:t>
      </w:r>
      <w:r>
        <w:rPr>
          <w:rFonts w:eastAsia="汉仪书宋二简" w:hAnsi="汉仪书宋二简"/>
          <w:b/>
          <w:color w:val="36363d"/>
          <w:sz w:val="36"/>
          <w:szCs w:val="36"/>
          <w:lang w:val="en-US"/>
        </w:rPr>
        <w:t>孙雨钧</w:t>
      </w:r>
      <w:r>
        <w:rPr>
          <w:rFonts w:eastAsia="汉仪书宋二简" w:hAnsi="汉仪书宋二简" w:hint="eastAsia"/>
          <w:b/>
          <w:color w:val="36363d"/>
          <w:sz w:val="36"/>
          <w:szCs w:val="36"/>
          <w:lang w:val="en-US" w:eastAsia="zh-CN"/>
        </w:rPr>
        <w:t xml:space="preserve"> </w:t>
      </w:r>
      <w:r>
        <w:rPr>
          <w:rFonts w:hint="eastAsia"/>
          <w:b/>
          <w:color w:val="36363d"/>
          <w:sz w:val="36"/>
          <w:szCs w:val="36"/>
          <w:lang w:val="en-US" w:eastAsia="zh-CN"/>
        </w:rPr>
        <w:t>（</w:t>
      </w:r>
      <w:r>
        <w:rPr>
          <w:rFonts w:eastAsia="汉仪书宋二简" w:hAnsi="汉仪书宋二简" w:hint="default"/>
          <w:b/>
          <w:color w:val="36363d"/>
          <w:sz w:val="36"/>
          <w:szCs w:val="36"/>
          <w:lang w:val="en-US" w:eastAsia="zh-CN"/>
        </w:rPr>
        <w:t>审签核准</w:t>
      </w:r>
      <w:r>
        <w:rPr>
          <w:rFonts w:hint="eastAsia"/>
          <w:b/>
          <w:color w:val="36363d"/>
          <w:sz w:val="36"/>
          <w:szCs w:val="36"/>
          <w:lang w:val="en-US" w:eastAsia="zh-CN"/>
        </w:rPr>
        <w:t>）</w:t>
      </w:r>
    </w:p>
    <w:p w14:paraId="A35B2065">
      <w:pPr>
        <w:pStyle w:val="style66"/>
        <w:spacing w:lineRule="auto" w:line="240"/>
        <w:jc w:val="center"/>
        <w:rPr>
          <w:rFonts w:eastAsia="汉仪书宋二简" w:hAnsi="汉仪书宋二简"/>
          <w:b/>
          <w:color w:val="36363d"/>
          <w:sz w:val="36"/>
          <w:szCs w:val="36"/>
        </w:rPr>
      </w:pPr>
      <w:r>
        <w:rPr>
          <w:rFonts w:eastAsia="汉仪书宋二简" w:hAnsi="汉仪书宋二简"/>
          <w:color w:val="36363d"/>
          <w:sz w:val="36"/>
          <w:szCs w:val="36"/>
        </w:rPr>
        <w:drawing>
          <wp:inline distL="114300" distT="0" distB="0" distR="114300">
            <wp:extent cx="2628900" cy="1092289"/>
            <wp:effectExtent l="0" t="0" r="0" b="0"/>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2" cstate="print"/>
                    <a:srcRect l="0" t="0" r="0" b="0"/>
                    <a:stretch/>
                  </pic:blipFill>
                  <pic:spPr>
                    <a:xfrm rot="0">
                      <a:off x="0" y="0"/>
                      <a:ext cx="2628900" cy="1092289"/>
                    </a:xfrm>
                    <a:prstGeom prst="rect"/>
                  </pic:spPr>
                </pic:pic>
              </a:graphicData>
            </a:graphic>
          </wp:inline>
        </w:drawing>
      </w:r>
    </w:p>
    <w:p w14:paraId="2CD98ACC">
      <w:pPr>
        <w:pStyle w:val="style66"/>
        <w:spacing w:lineRule="auto" w:line="240"/>
        <w:jc w:val="right"/>
        <w:rPr>
          <w:rFonts w:eastAsia="汉仪书宋二简"/>
          <w:sz w:val="36"/>
          <w:szCs w:val="36"/>
        </w:rPr>
      </w:pPr>
      <w:r>
        <w:rPr>
          <w:rFonts w:eastAsia="汉仪书宋二简" w:hAnsi="汉仪书宋二简"/>
          <w:b/>
          <w:sz w:val="36"/>
          <w:szCs w:val="36"/>
        </w:rPr>
        <w:t>日期</w:t>
      </w:r>
      <w:r>
        <w:rPr>
          <w:b/>
          <w:sz w:val="36"/>
          <w:szCs w:val="36"/>
        </w:rPr>
        <w:t>：</w:t>
      </w:r>
      <w:r>
        <w:rPr>
          <w:rFonts w:eastAsia="汉仪书宋二简" w:hAnsi="汉仪书宋二简"/>
          <w:b/>
          <w:sz w:val="36"/>
          <w:szCs w:val="36"/>
        </w:rPr>
        <w:t>2026年8月12日</w:t>
      </w:r>
    </w:p>
    <w:sectPr>
      <w:headerReference w:type="default" r:id="rId3"/>
      <w:footerReference w:type="default" r:id="rId4"/>
      <w:pgSz w:w="11906" w:h="16838"/>
      <w:pgMar w:top="1440" w:right="1800" w:bottom="1440" w:left="1800" w:header="720" w:footer="720" w:gutter="0"/>
      <w:pgNumType w:fmt="numberInDash"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2000500000000000000"/>
    <w:charset w:val="02"/>
    <w:family w:val="auto"/>
    <w:pitch w:val="variable"/>
    <w:sig w:usb0="00000000" w:usb1="00000000" w:usb2="00010000" w:usb3="00000000" w:csb0="80000000" w:csb1="00000000"/>
  </w:font>
  <w:font w:name="Times New Roman">
    <w:altName w:val="Times New Roman"/>
    <w:panose1 w:val="02020603050004020304"/>
    <w:charset w:val="00"/>
    <w:family w:val="auto"/>
    <w:pitch w:val="variable"/>
    <w:sig w:usb0="00000003" w:usb1="00000000" w:usb2="00000000" w:usb3="00000000" w:csb0="00000001" w:csb1="00000000"/>
  </w:font>
  <w:font w:name="Courier New">
    <w:altName w:val="Courier New"/>
    <w:panose1 w:val="02070309020002020404"/>
    <w:charset w:val="00"/>
    <w:family w:val="auto"/>
    <w:pitch w:val="variable"/>
    <w:sig w:usb0="00000003" w:usb1="00000000" w:usb2="00000000" w:usb3="00000000" w:csb0="00000001" w:csb1="00000000"/>
  </w:font>
  <w:font w:name="Wingdings">
    <w:altName w:val="Wingdings"/>
    <w:panose1 w:val="05020102010008080708"/>
    <w:charset w:val="02"/>
    <w:family w:val="auto"/>
    <w:pitch w:val="variable"/>
    <w:sig w:usb0="00000000" w:usb1="00000000" w:usb2="00010000" w:usb3="00000000" w:csb0="80000000" w:csb1="00000000"/>
  </w:font>
  <w:font w:name="Cambria">
    <w:altName w:val="Cambria"/>
    <w:panose1 w:val="02040503050004030204"/>
    <w:charset w:val="00"/>
    <w:family w:val="auto"/>
    <w:pitch w:val="variable"/>
    <w:sig w:usb0="00000003" w:usb1="00000000" w:usb2="00000000" w:usb3="00000000" w:csb0="00000001" w:csb1="00000000"/>
  </w:font>
  <w:font w:name="Calibri">
    <w:altName w:val="Calibri"/>
    <w:panose1 w:val="020f0502020002030204"/>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00000003" w:usb1="00000000" w:usb2="00000000" w:usb3="00000000" w:csb0="00000001" w:csb1="00000000"/>
  </w:font>
  <w:font w:name="汉仪书宋二简">
    <w:altName w:val="Times New Roman"/>
    <w:panose1 w:val="02020603050005020304"/>
    <w:charset w:val="00"/>
    <w:family w:val="roman"/>
    <w:pitch w:val="variable"/>
    <w:sig w:usb0="20007A87" w:usb1="80000000" w:usb2="00000008" w:usb3="00000000" w:csb0="000001FF" w:csb1="00000000"/>
  </w:font>
  <w:font w:name="汉仪粗仿宋简">
    <w:altName w:val="Times New Roman"/>
    <w:panose1 w:val="02020603050005020304"/>
    <w:charset w:val="00"/>
    <w:family w:val="roman"/>
    <w:pitch w:val="variable"/>
    <w:sig w:usb0="20007A87" w:usb1="80000000" w:usb2="00000008"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center"/>
      <w:rPr/>
    </w:pPr>
    <w:r>
      <w:rPr/>
      <w:fldChar w:fldCharType="begin"/>
    </w:r>
    <w:r>
      <w:instrText>PAGE</w:instrText>
    </w:r>
    <w:r>
      <w:rPr/>
      <w:fldChar w:fldCharType="separate"/>
    </w:r>
    <w:r>
      <w:t>1</w:t>
    </w:r>
    <w:r>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bullet"/>
      <w:lvlText w:val=" "/>
      <w:lvlJc w:val="left"/>
      <w:pPr>
        <w:tabs>
          <w:tab w:val="left" w:leader="none" w:pos="0"/>
        </w:tabs>
        <w:ind w:left="480" w:hanging="480"/>
      </w:pPr>
    </w:lvl>
    <w:lvl w:ilvl="1">
      <w:start w:val="1"/>
      <w:numFmt w:val="bullet"/>
      <w:lvlText w:val=" "/>
      <w:lvlJc w:val="left"/>
      <w:pPr>
        <w:tabs>
          <w:tab w:val="left" w:leader="none" w:pos="720"/>
        </w:tabs>
        <w:ind w:left="1200" w:hanging="480"/>
      </w:pPr>
    </w:lvl>
    <w:lvl w:ilvl="2">
      <w:start w:val="1"/>
      <w:numFmt w:val="bullet"/>
      <w:lvlText w:val=" "/>
      <w:lvlJc w:val="left"/>
      <w:pPr>
        <w:tabs>
          <w:tab w:val="left" w:leader="none" w:pos="1440"/>
        </w:tabs>
        <w:ind w:left="1920" w:hanging="480"/>
      </w:pPr>
    </w:lvl>
    <w:lvl w:ilvl="3">
      <w:start w:val="1"/>
      <w:numFmt w:val="bullet"/>
      <w:lvlText w:val=" "/>
      <w:lvlJc w:val="left"/>
      <w:pPr>
        <w:tabs>
          <w:tab w:val="left" w:leader="none" w:pos="2160"/>
        </w:tabs>
        <w:ind w:left="2640" w:hanging="480"/>
      </w:pPr>
    </w:lvl>
    <w:lvl w:ilvl="4">
      <w:start w:val="1"/>
      <w:numFmt w:val="bullet"/>
      <w:lvlText w:val=" "/>
      <w:lvlJc w:val="left"/>
      <w:pPr>
        <w:tabs>
          <w:tab w:val="left" w:leader="none" w:pos="2880"/>
        </w:tabs>
        <w:ind w:left="3360" w:hanging="480"/>
      </w:pPr>
    </w:lvl>
    <w:lvl w:ilvl="5">
      <w:start w:val="1"/>
      <w:numFmt w:val="bullet"/>
      <w:lvlText w:val=" "/>
      <w:lvlJc w:val="left"/>
      <w:pPr>
        <w:tabs>
          <w:tab w:val="left" w:leader="none" w:pos="3600"/>
        </w:tabs>
        <w:ind w:left="4080" w:hanging="480"/>
      </w:pPr>
    </w:lvl>
    <w:lvl w:ilvl="6">
      <w:start w:val="1"/>
      <w:numFmt w:val="bullet"/>
      <w:lvlText w:val=" "/>
      <w:lvlJc w:val="left"/>
      <w:pPr>
        <w:tabs>
          <w:tab w:val="left" w:leader="none" w:pos="4320"/>
        </w:tabs>
        <w:ind w:left="4800" w:hanging="480"/>
      </w:pPr>
    </w:lvl>
    <w:lvl w:ilvl="7">
      <w:start w:val="1"/>
      <w:numFmt w:val="bullet"/>
      <w:lvlText w:val=" "/>
      <w:lvlJc w:val="left"/>
      <w:pPr>
        <w:tabs>
          <w:tab w:val="left" w:leader="none" w:pos="5040"/>
        </w:tabs>
        <w:ind w:left="5520" w:hanging="480"/>
      </w:pPr>
    </w:lvl>
    <w:lvl w:ilvl="8">
      <w:start w:val="1"/>
      <w:numFmt w:val="bullet"/>
      <w:lvlText w:val=" "/>
      <w:lvlJc w:val="left"/>
      <w:pPr>
        <w:tabs>
          <w:tab w:val="left" w:leader="none" w:pos="5760"/>
        </w:tabs>
        <w:ind w:left="6240" w:hanging="480"/>
      </w:pPr>
    </w:lvl>
  </w:abstractNum>
  <w:abstractNum w:abstractNumId="1">
    <w:nsid w:val="00000001"/>
    <w:multiLevelType w:val="multilevel"/>
    <w:tmpl w:val="AC557D8F"/>
    <w:lvl w:ilvl="0">
      <w:start w:val="1"/>
      <w:numFmt w:val="decimal"/>
      <w:lvlText w:val="%1."/>
      <w:lvlJc w:val="left"/>
      <w:pPr>
        <w:tabs>
          <w:tab w:val="left" w:leader="none" w:pos="0"/>
        </w:tabs>
        <w:ind w:left="480" w:hanging="480"/>
      </w:pPr>
    </w:lvl>
    <w:lvl w:ilvl="1">
      <w:start w:val="1"/>
      <w:numFmt w:val="bullet"/>
      <w:lvlText w:val="–"/>
      <w:lvlJc w:val="left"/>
      <w:pPr>
        <w:tabs>
          <w:tab w:val="left" w:leader="none" w:pos="720"/>
        </w:tabs>
        <w:ind w:left="1200" w:hanging="480"/>
      </w:pPr>
    </w:lvl>
    <w:lvl w:ilvl="2">
      <w:start w:val="1"/>
      <w:numFmt w:val="bullet"/>
      <w:lvlText w:val="•"/>
      <w:lvlJc w:val="left"/>
      <w:pPr>
        <w:tabs>
          <w:tab w:val="left" w:leader="none" w:pos="1440"/>
        </w:tabs>
        <w:ind w:left="1920" w:hanging="480"/>
      </w:pPr>
    </w:lvl>
    <w:lvl w:ilvl="3">
      <w:start w:val="1"/>
      <w:numFmt w:val="bullet"/>
      <w:lvlText w:val="–"/>
      <w:lvlJc w:val="left"/>
      <w:pPr>
        <w:tabs>
          <w:tab w:val="left" w:leader="none" w:pos="2160"/>
        </w:tabs>
        <w:ind w:left="2640" w:hanging="480"/>
      </w:pPr>
    </w:lvl>
    <w:lvl w:ilvl="4">
      <w:start w:val="1"/>
      <w:numFmt w:val="bullet"/>
      <w:lvlText w:val="•"/>
      <w:lvlJc w:val="left"/>
      <w:pPr>
        <w:tabs>
          <w:tab w:val="left" w:leader="none" w:pos="2880"/>
        </w:tabs>
        <w:ind w:left="3360" w:hanging="480"/>
      </w:pPr>
    </w:lvl>
    <w:lvl w:ilvl="5">
      <w:start w:val="1"/>
      <w:numFmt w:val="bullet"/>
      <w:lvlText w:val="–"/>
      <w:lvlJc w:val="left"/>
      <w:pPr>
        <w:tabs>
          <w:tab w:val="left" w:leader="none" w:pos="3600"/>
        </w:tabs>
        <w:ind w:left="4080" w:hanging="480"/>
      </w:pPr>
    </w:lvl>
    <w:lvl w:ilvl="6">
      <w:start w:val="1"/>
      <w:numFmt w:val="bullet"/>
      <w:lvlText w:val="•"/>
      <w:lvlJc w:val="left"/>
      <w:pPr>
        <w:tabs>
          <w:tab w:val="left" w:leader="none" w:pos="4320"/>
        </w:tabs>
        <w:ind w:left="4800" w:hanging="480"/>
      </w:pPr>
    </w:lvl>
    <w:lvl w:ilvl="7">
      <w:start w:val="1"/>
      <w:numFmt w:val="bullet"/>
      <w:lvlText w:val="–"/>
      <w:lvlJc w:val="left"/>
      <w:pPr>
        <w:tabs>
          <w:tab w:val="left" w:leader="none" w:pos="5040"/>
        </w:tabs>
        <w:ind w:left="5520" w:hanging="480"/>
      </w:pPr>
    </w:lvl>
    <w:lvl w:ilvl="8">
      <w:start w:val="1"/>
      <w:numFmt w:val="bullet"/>
      <w:lvlText w:val="•"/>
      <w:lvlJc w:val="left"/>
      <w:pPr>
        <w:tabs>
          <w:tab w:val="left" w:leader="none" w:pos="5760"/>
        </w:tabs>
        <w:ind w:left="6240" w:hanging="480"/>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embedSystemFonts/>
  <w:proofState w:spelling="clean" w:grammar="clean"/>
  <w:stylePaneFormatFilter w:val="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1"/>
  <w:doNotTrackMoves/>
  <w:defaultTabStop w:val="720"/>
  <w:drawingGridHorizontalSpacing w:val="360"/>
  <w:drawingGridVerticalSpacing w:val="360"/>
  <w:displayHorizontalDrawingGridEvery w:val="0"/>
  <w:displayVerticalDrawingGridEvery w:val="0"/>
  <w:characterSpacingControl w:val="doNotCompress"/>
  <w:savePreviewPicture/>
  <w:compat/>
  <m:mathPr>
    <m:mathFont m:val="Lucida Grande"/>
    <m:brkBin m:val="before"/>
    <m:brkBinSub m:val="--"/>
    <m:smallFrac m:val="0"/>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Cambria" w:hAnsi="Cambria"/>
        <w:sz w:val="24"/>
        <w:szCs w:val="24"/>
        <w:lang w:val="en-US" w:bidi="ar-SA" w:eastAsia="en-US"/>
      </w:rPr>
    </w:rPrDefault>
    <w:pPrDefault>
      <w:pPr>
        <w:spacing w:after="200"/>
      </w:pPr>
    </w:pPrDefault>
  </w:docDefaults>
  <w:style w:type="paragraph" w:default="1" w:styleId="style0">
    <w:name w:val="Normal"/>
    <w:next w:val="style0"/>
    <w:qFormat/>
    <w:pPr/>
  </w:style>
  <w:style w:type="paragraph" w:styleId="style66">
    <w:name w:val="Body Text"/>
    <w:basedOn w:val="style0"/>
    <w:next w:val="style66"/>
    <w:link w:val="style4119"/>
    <w:qFormat/>
    <w:pPr>
      <w:spacing w:before="180" w:after="180"/>
    </w:pPr>
    <w:rPr/>
  </w:style>
  <w:style w:type="paragraph" w:customStyle="1" w:styleId="style4097">
    <w:name w:val="First Paragraph"/>
    <w:basedOn w:val="style66"/>
    <w:next w:val="style66"/>
    <w:qFormat/>
    <w:pPr/>
  </w:style>
  <w:style w:type="paragraph" w:customStyle="1" w:styleId="style4098">
    <w:name w:val="Compact"/>
    <w:basedOn w:val="style66"/>
    <w:next w:val="style4098"/>
    <w:qFormat/>
    <w:pPr>
      <w:spacing w:before="36" w:after="36"/>
    </w:pPr>
    <w:rPr/>
  </w:style>
  <w:style w:type="paragraph" w:styleId="style62">
    <w:name w:val="Title"/>
    <w:basedOn w:val="style0"/>
    <w:next w:val="style66"/>
    <w:qFormat/>
    <w:pPr>
      <w:keepNext/>
      <w:keepLines/>
      <w:spacing w:before="480" w:after="240"/>
      <w:jc w:val="center"/>
    </w:pPr>
    <w:rPr>
      <w:rFonts w:ascii="Calibri" w:cs="宋体" w:eastAsia="宋体" w:hAnsi="Calibri"/>
      <w:b/>
      <w:bCs/>
      <w:color w:val="345a8a"/>
      <w:sz w:val="36"/>
      <w:szCs w:val="36"/>
    </w:rPr>
  </w:style>
  <w:style w:type="paragraph" w:styleId="style74">
    <w:name w:val="Subtitle"/>
    <w:basedOn w:val="style62"/>
    <w:next w:val="style66"/>
    <w:qFormat/>
    <w:pPr>
      <w:keepNext/>
      <w:keepLines/>
      <w:spacing w:before="240" w:after="240"/>
      <w:jc w:val="center"/>
    </w:pPr>
    <w:rPr>
      <w:sz w:val="30"/>
      <w:szCs w:val="30"/>
    </w:rPr>
  </w:style>
  <w:style w:type="paragraph" w:customStyle="1" w:styleId="style4099">
    <w:name w:val="Author"/>
    <w:next w:val="style66"/>
    <w:qFormat/>
    <w:pPr>
      <w:keepNext/>
      <w:keepLines/>
      <w:jc w:val="center"/>
    </w:pPr>
    <w:rPr/>
  </w:style>
  <w:style w:type="paragraph" w:styleId="style76">
    <w:name w:val="Date"/>
    <w:next w:val="style66"/>
    <w:qFormat/>
    <w:pPr>
      <w:keepNext/>
      <w:keepLines/>
      <w:jc w:val="center"/>
    </w:pPr>
    <w:rPr/>
  </w:style>
  <w:style w:type="paragraph" w:customStyle="1" w:styleId="style4100">
    <w:name w:val="Abstract"/>
    <w:basedOn w:val="style0"/>
    <w:next w:val="style66"/>
    <w:qFormat/>
    <w:pPr>
      <w:keepNext/>
      <w:keepLines/>
      <w:spacing w:before="300" w:after="300"/>
    </w:pPr>
    <w:rPr>
      <w:sz w:val="20"/>
      <w:szCs w:val="20"/>
    </w:rPr>
  </w:style>
  <w:style w:type="paragraph" w:styleId="style265">
    <w:name w:val="Bibliography"/>
    <w:basedOn w:val="style0"/>
    <w:next w:val="style265"/>
    <w:qFormat/>
    <w:pPr/>
  </w:style>
  <w:style w:type="paragraph" w:customStyle="1" w:styleId="style4101">
    <w:name w:val="Heading 1"/>
    <w:basedOn w:val="style0"/>
    <w:next w:val="style66"/>
    <w:qFormat/>
    <w:uiPriority w:val="9"/>
    <w:pPr>
      <w:keepNext/>
      <w:keepLines/>
      <w:spacing w:before="480" w:after="0"/>
      <w:outlineLvl w:val="0"/>
    </w:pPr>
    <w:rPr>
      <w:rFonts w:ascii="Calibri" w:cs="宋体" w:eastAsia="宋体" w:hAnsi="Calibri"/>
      <w:b/>
      <w:bCs/>
      <w:color w:val="345a8a"/>
      <w:sz w:val="32"/>
      <w:szCs w:val="32"/>
    </w:rPr>
  </w:style>
  <w:style w:type="paragraph" w:customStyle="1" w:styleId="style4102">
    <w:name w:val="Heading 2"/>
    <w:basedOn w:val="style0"/>
    <w:next w:val="style66"/>
    <w:qFormat/>
    <w:uiPriority w:val="9"/>
    <w:pPr>
      <w:keepNext/>
      <w:keepLines/>
      <w:spacing w:before="200" w:after="0"/>
      <w:outlineLvl w:val="1"/>
    </w:pPr>
    <w:rPr>
      <w:rFonts w:ascii="Calibri" w:cs="宋体" w:eastAsia="宋体" w:hAnsi="Calibri"/>
      <w:b/>
      <w:bCs/>
      <w:color w:val="4f81bd"/>
      <w:sz w:val="32"/>
      <w:szCs w:val="32"/>
    </w:rPr>
  </w:style>
  <w:style w:type="paragraph" w:customStyle="1" w:styleId="style4103">
    <w:name w:val="Heading 3"/>
    <w:basedOn w:val="style0"/>
    <w:next w:val="style66"/>
    <w:qFormat/>
    <w:uiPriority w:val="9"/>
    <w:pPr>
      <w:keepNext/>
      <w:keepLines/>
      <w:spacing w:before="200" w:after="0"/>
      <w:outlineLvl w:val="2"/>
    </w:pPr>
    <w:rPr>
      <w:rFonts w:ascii="Calibri" w:cs="宋体" w:eastAsia="宋体" w:hAnsi="Calibri"/>
      <w:b/>
      <w:bCs/>
      <w:color w:val="4f81bd"/>
      <w:sz w:val="28"/>
      <w:szCs w:val="28"/>
    </w:rPr>
  </w:style>
  <w:style w:type="paragraph" w:customStyle="1" w:styleId="style4104">
    <w:name w:val="Heading 4"/>
    <w:basedOn w:val="style0"/>
    <w:next w:val="style66"/>
    <w:qFormat/>
    <w:uiPriority w:val="9"/>
    <w:pPr>
      <w:keepNext/>
      <w:keepLines/>
      <w:spacing w:before="200" w:after="0"/>
      <w:outlineLvl w:val="3"/>
    </w:pPr>
    <w:rPr>
      <w:rFonts w:ascii="Calibri" w:cs="宋体" w:eastAsia="宋体" w:hAnsi="Calibri"/>
      <w:b/>
      <w:bCs/>
      <w:color w:val="4f81bd"/>
      <w:sz w:val="24"/>
      <w:szCs w:val="24"/>
    </w:rPr>
  </w:style>
  <w:style w:type="paragraph" w:customStyle="1" w:styleId="style4105">
    <w:name w:val="Heading 5"/>
    <w:basedOn w:val="style0"/>
    <w:next w:val="style66"/>
    <w:qFormat/>
    <w:uiPriority w:val="9"/>
    <w:pPr>
      <w:keepNext/>
      <w:keepLines/>
      <w:spacing w:before="200" w:after="0"/>
      <w:outlineLvl w:val="4"/>
    </w:pPr>
    <w:rPr>
      <w:rFonts w:ascii="Calibri" w:cs="宋体" w:eastAsia="宋体" w:hAnsi="Calibri"/>
      <w:i/>
      <w:iCs/>
      <w:color w:val="4f81bd"/>
      <w:sz w:val="24"/>
      <w:szCs w:val="24"/>
    </w:rPr>
  </w:style>
  <w:style w:type="paragraph" w:customStyle="1" w:styleId="style4106">
    <w:name w:val="Heading 6"/>
    <w:basedOn w:val="style0"/>
    <w:next w:val="style66"/>
    <w:qFormat/>
    <w:uiPriority w:val="9"/>
    <w:pPr>
      <w:keepNext/>
      <w:keepLines/>
      <w:spacing w:before="200" w:after="0"/>
      <w:outlineLvl w:val="5"/>
    </w:pPr>
    <w:rPr>
      <w:rFonts w:ascii="Calibri" w:cs="宋体" w:eastAsia="宋体" w:hAnsi="Calibri"/>
      <w:color w:val="4f81bd"/>
      <w:sz w:val="24"/>
      <w:szCs w:val="24"/>
    </w:rPr>
  </w:style>
  <w:style w:type="paragraph" w:customStyle="1" w:styleId="style4107">
    <w:name w:val="Heading 7"/>
    <w:basedOn w:val="style0"/>
    <w:next w:val="style66"/>
    <w:qFormat/>
    <w:uiPriority w:val="9"/>
    <w:pPr>
      <w:keepNext/>
      <w:keepLines/>
      <w:spacing w:before="200" w:after="0"/>
      <w:outlineLvl w:val="6"/>
    </w:pPr>
    <w:rPr>
      <w:rFonts w:ascii="Calibri" w:cs="宋体" w:eastAsia="宋体" w:hAnsi="Calibri"/>
      <w:color w:val="4f81bd"/>
      <w:sz w:val="24"/>
      <w:szCs w:val="24"/>
    </w:rPr>
  </w:style>
  <w:style w:type="paragraph" w:customStyle="1" w:styleId="style4108">
    <w:name w:val="Heading 8"/>
    <w:basedOn w:val="style0"/>
    <w:next w:val="style66"/>
    <w:qFormat/>
    <w:uiPriority w:val="9"/>
    <w:pPr>
      <w:keepNext/>
      <w:keepLines/>
      <w:spacing w:before="200" w:after="0"/>
      <w:outlineLvl w:val="7"/>
    </w:pPr>
    <w:rPr>
      <w:rFonts w:ascii="Calibri" w:cs="宋体" w:eastAsia="宋体" w:hAnsi="Calibri"/>
      <w:color w:val="4f81bd"/>
      <w:sz w:val="24"/>
      <w:szCs w:val="24"/>
    </w:rPr>
  </w:style>
  <w:style w:type="paragraph" w:customStyle="1" w:styleId="style4109">
    <w:name w:val="Heading 9"/>
    <w:basedOn w:val="style0"/>
    <w:next w:val="style66"/>
    <w:qFormat/>
    <w:uiPriority w:val="9"/>
    <w:pPr>
      <w:keepNext/>
      <w:keepLines/>
      <w:spacing w:before="200" w:after="0"/>
      <w:outlineLvl w:val="8"/>
    </w:pPr>
    <w:rPr>
      <w:rFonts w:ascii="Calibri" w:cs="宋体" w:eastAsia="宋体" w:hAnsi="Calibri"/>
      <w:color w:val="4f81bd"/>
      <w:sz w:val="24"/>
      <w:szCs w:val="24"/>
    </w:rPr>
  </w:style>
  <w:style w:type="paragraph" w:styleId="style84">
    <w:name w:val="Block Text"/>
    <w:basedOn w:val="style66"/>
    <w:next w:val="style66"/>
    <w:qFormat/>
    <w:uiPriority w:val="9"/>
    <w:pPr>
      <w:spacing w:before="100" w:after="100"/>
      <w:ind w:firstLine="0"/>
    </w:pPr>
    <w:rPr>
      <w:rFonts w:ascii="Calibri" w:cs="宋体" w:eastAsia="宋体" w:hAnsi="Calibri"/>
      <w:bCs/>
      <w:sz w:val="20"/>
      <w:szCs w:val="20"/>
    </w:rPr>
  </w:style>
  <w:style w:type="paragraph" w:customStyle="1" w:styleId="style4110">
    <w:name w:val="Footnote Text"/>
    <w:basedOn w:val="style0"/>
    <w:next w:val="style4110"/>
    <w:qFormat/>
    <w:uiPriority w:val="9"/>
    <w:pPr/>
  </w:style>
  <w:style w:type="character" w:default="1" w:styleId="style65">
    <w:name w:val="Default Paragraph Font"/>
    <w:next w:val="style65"/>
  </w:style>
  <w:style w:type="table" w:customStyle="1" w:styleId="style4111">
    <w:name w:val="Table"/>
    <w:next w:val="style4111"/>
    <w:qFormat/>
    <w:pPr/>
    <w:rPr/>
    <w:tblPr>
      <w:tblInd w:w="0" w:type="dxa"/>
      <w:tblCellMar>
        <w:top w:w="0" w:type="dxa"/>
        <w:left w:w="108" w:type="dxa"/>
        <w:bottom w:w="0" w:type="dxa"/>
        <w:right w:w="108" w:type="dxa"/>
      </w:tblCellMar>
    </w:tblPr>
    <w:tcPr>
      <w:tcBorders/>
    </w:tcPr>
  </w:style>
  <w:style w:type="paragraph" w:customStyle="1" w:styleId="style4112">
    <w:name w:val="Definition Term"/>
    <w:basedOn w:val="style0"/>
    <w:next w:val="style4113"/>
    <w:pPr>
      <w:keepNext/>
      <w:keepLines/>
      <w:spacing w:after="0"/>
    </w:pPr>
    <w:rPr>
      <w:b/>
    </w:rPr>
  </w:style>
  <w:style w:type="paragraph" w:customStyle="1" w:styleId="style4113">
    <w:name w:val="Definition"/>
    <w:basedOn w:val="style0"/>
    <w:next w:val="style4113"/>
    <w:pPr/>
  </w:style>
  <w:style w:type="paragraph" w:customStyle="1" w:styleId="style4114">
    <w:name w:val="Caption"/>
    <w:basedOn w:val="style0"/>
    <w:next w:val="style4114"/>
    <w:link w:val="style4119"/>
    <w:pPr>
      <w:spacing w:before="0" w:after="120"/>
    </w:pPr>
    <w:rPr>
      <w:i/>
    </w:rPr>
  </w:style>
  <w:style w:type="paragraph" w:customStyle="1" w:styleId="style4115">
    <w:name w:val="Table Caption"/>
    <w:basedOn w:val="style4114"/>
    <w:next w:val="style4115"/>
    <w:pPr>
      <w:keepNext/>
    </w:pPr>
    <w:rPr/>
  </w:style>
  <w:style w:type="paragraph" w:customStyle="1" w:styleId="style4116">
    <w:name w:val="Image Caption"/>
    <w:basedOn w:val="style4114"/>
    <w:next w:val="style4116"/>
    <w:pPr/>
  </w:style>
  <w:style w:type="paragraph" w:customStyle="1" w:styleId="style4117">
    <w:name w:val="Figure"/>
    <w:basedOn w:val="style0"/>
    <w:next w:val="style4117"/>
    <w:pPr/>
  </w:style>
  <w:style w:type="paragraph" w:customStyle="1" w:styleId="style4118">
    <w:name w:val="Captioned Figure"/>
    <w:basedOn w:val="style4117"/>
    <w:next w:val="style4118"/>
    <w:pPr>
      <w:keepNext/>
    </w:pPr>
    <w:rPr/>
  </w:style>
  <w:style w:type="character" w:customStyle="1" w:styleId="style4119">
    <w:name w:val="Body Text Char"/>
    <w:basedOn w:val="style65"/>
    <w:next w:val="style4119"/>
    <w:link w:val="style66"/>
  </w:style>
  <w:style w:type="character" w:customStyle="1" w:styleId="style4120">
    <w:name w:val="Verbatim Char"/>
    <w:basedOn w:val="style4119"/>
    <w:next w:val="style4120"/>
    <w:rPr>
      <w:rFonts w:ascii="Consolas" w:hAnsi="Consolas"/>
      <w:sz w:val="22"/>
    </w:rPr>
  </w:style>
  <w:style w:type="character" w:customStyle="1" w:styleId="style4121">
    <w:name w:val="Footnote Reference"/>
    <w:basedOn w:val="style4119"/>
    <w:next w:val="style4121"/>
    <w:rPr>
      <w:vertAlign w:val="superscript"/>
    </w:rPr>
  </w:style>
  <w:style w:type="character" w:styleId="style85">
    <w:name w:val="Hyperlink"/>
    <w:basedOn w:val="style4119"/>
    <w:next w:val="style85"/>
    <w:rPr>
      <w:color w:val="4f81bd"/>
    </w:rPr>
  </w:style>
  <w:style w:type="paragraph" w:styleId="style266">
    <w:name w:val="TOC Heading"/>
    <w:basedOn w:val="style4101"/>
    <w:next w:val="style66"/>
    <w:qFormat/>
    <w:uiPriority w:val="39"/>
    <w:pPr>
      <w:spacing w:before="240" w:lineRule="auto" w:line="259"/>
      <w:outlineLvl w:val="9"/>
    </w:pPr>
    <w:rPr>
      <w:rFonts w:ascii="Calibri" w:cs="宋体" w:eastAsia="宋体" w:hAnsi="Calibri"/>
      <w:b w:val="false"/>
      <w:bCs w:val="false"/>
      <w:color w:val="365f91"/>
    </w:rPr>
  </w:style>
  <w:style w:type="paragraph" w:customStyle="1" w:styleId="style4122">
    <w:name w:val="Source Code"/>
    <w:basedOn w:val="style0"/>
    <w:next w:val="style4122"/>
    <w:link w:val="style4120"/>
    <w:pPr>
      <w:wordWrap w:val="false"/>
    </w:pPr>
    <w:rPr/>
  </w:style>
  <w:style w:type="character" w:customStyle="1" w:styleId="style4123">
    <w:name w:val="KeywordTok"/>
    <w:basedOn w:val="style4120"/>
    <w:next w:val="style4123"/>
    <w:rPr>
      <w:b/>
      <w:color w:val="007020"/>
    </w:rPr>
  </w:style>
  <w:style w:type="character" w:customStyle="1" w:styleId="style4124">
    <w:name w:val="DataTypeTok"/>
    <w:basedOn w:val="style4120"/>
    <w:next w:val="style4124"/>
    <w:rPr>
      <w:color w:val="902000"/>
    </w:rPr>
  </w:style>
  <w:style w:type="character" w:customStyle="1" w:styleId="style4125">
    <w:name w:val="DecValTok"/>
    <w:basedOn w:val="style4120"/>
    <w:next w:val="style4125"/>
    <w:rPr>
      <w:color w:val="40a070"/>
    </w:rPr>
  </w:style>
  <w:style w:type="character" w:customStyle="1" w:styleId="style4126">
    <w:name w:val="BaseNTok"/>
    <w:basedOn w:val="style4120"/>
    <w:next w:val="style4126"/>
    <w:rPr>
      <w:color w:val="40a070"/>
    </w:rPr>
  </w:style>
  <w:style w:type="character" w:customStyle="1" w:styleId="style4127">
    <w:name w:val="FloatTok"/>
    <w:basedOn w:val="style4120"/>
    <w:next w:val="style4127"/>
    <w:rPr>
      <w:color w:val="40a070"/>
    </w:rPr>
  </w:style>
  <w:style w:type="character" w:customStyle="1" w:styleId="style4128">
    <w:name w:val="ConstantTok"/>
    <w:basedOn w:val="style4120"/>
    <w:next w:val="style4128"/>
    <w:rPr>
      <w:color w:val="880000"/>
    </w:rPr>
  </w:style>
  <w:style w:type="character" w:customStyle="1" w:styleId="style4129">
    <w:name w:val="CharTok"/>
    <w:basedOn w:val="style4120"/>
    <w:next w:val="style4129"/>
    <w:rPr>
      <w:color w:val="4070a0"/>
    </w:rPr>
  </w:style>
  <w:style w:type="character" w:customStyle="1" w:styleId="style4130">
    <w:name w:val="SpecialCharTok"/>
    <w:basedOn w:val="style4120"/>
    <w:next w:val="style4130"/>
    <w:rPr>
      <w:color w:val="4070a0"/>
    </w:rPr>
  </w:style>
  <w:style w:type="character" w:customStyle="1" w:styleId="style4131">
    <w:name w:val="StringTok"/>
    <w:basedOn w:val="style4120"/>
    <w:next w:val="style4131"/>
    <w:rPr>
      <w:color w:val="4070a0"/>
    </w:rPr>
  </w:style>
  <w:style w:type="character" w:customStyle="1" w:styleId="style4132">
    <w:name w:val="VerbatimStringTok"/>
    <w:basedOn w:val="style4120"/>
    <w:next w:val="style4132"/>
    <w:rPr>
      <w:color w:val="4070a0"/>
    </w:rPr>
  </w:style>
  <w:style w:type="character" w:customStyle="1" w:styleId="style4133">
    <w:name w:val="SpecialStringTok"/>
    <w:basedOn w:val="style4120"/>
    <w:next w:val="style4133"/>
    <w:rPr>
      <w:color w:val="bb6688"/>
    </w:rPr>
  </w:style>
  <w:style w:type="character" w:customStyle="1" w:styleId="style4134">
    <w:name w:val="ImportTok"/>
    <w:basedOn w:val="style4120"/>
    <w:next w:val="style4134"/>
  </w:style>
  <w:style w:type="character" w:customStyle="1" w:styleId="style4135">
    <w:name w:val="CommentTok"/>
    <w:basedOn w:val="style4120"/>
    <w:next w:val="style4135"/>
    <w:rPr>
      <w:i/>
      <w:color w:val="60a0b0"/>
    </w:rPr>
  </w:style>
  <w:style w:type="character" w:customStyle="1" w:styleId="style4136">
    <w:name w:val="DocumentationTok"/>
    <w:basedOn w:val="style4120"/>
    <w:next w:val="style4136"/>
    <w:rPr>
      <w:i/>
      <w:color w:val="ba2121"/>
    </w:rPr>
  </w:style>
  <w:style w:type="character" w:customStyle="1" w:styleId="style4137">
    <w:name w:val="AnnotationTok"/>
    <w:basedOn w:val="style4120"/>
    <w:next w:val="style4137"/>
    <w:rPr>
      <w:b/>
      <w:i/>
      <w:color w:val="60a0b0"/>
    </w:rPr>
  </w:style>
  <w:style w:type="character" w:customStyle="1" w:styleId="style4138">
    <w:name w:val="CommentVarTok"/>
    <w:basedOn w:val="style4120"/>
    <w:next w:val="style4138"/>
    <w:rPr>
      <w:b/>
      <w:i/>
      <w:color w:val="60a0b0"/>
    </w:rPr>
  </w:style>
  <w:style w:type="character" w:customStyle="1" w:styleId="style4139">
    <w:name w:val="OtherTok"/>
    <w:basedOn w:val="style4120"/>
    <w:next w:val="style4139"/>
    <w:rPr>
      <w:color w:val="007020"/>
    </w:rPr>
  </w:style>
  <w:style w:type="character" w:customStyle="1" w:styleId="style4140">
    <w:name w:val="FunctionTok"/>
    <w:basedOn w:val="style4120"/>
    <w:next w:val="style4140"/>
    <w:rPr>
      <w:color w:val="06287e"/>
    </w:rPr>
  </w:style>
  <w:style w:type="character" w:customStyle="1" w:styleId="style4141">
    <w:name w:val="VariableTok"/>
    <w:basedOn w:val="style4120"/>
    <w:next w:val="style4141"/>
    <w:rPr>
      <w:color w:val="19177c"/>
    </w:rPr>
  </w:style>
  <w:style w:type="character" w:customStyle="1" w:styleId="style4142">
    <w:name w:val="ControlFlowTok"/>
    <w:basedOn w:val="style4120"/>
    <w:next w:val="style4142"/>
    <w:rPr>
      <w:b/>
      <w:color w:val="007020"/>
    </w:rPr>
  </w:style>
  <w:style w:type="character" w:customStyle="1" w:styleId="style4143">
    <w:name w:val="OperatorTok"/>
    <w:basedOn w:val="style4120"/>
    <w:next w:val="style4143"/>
    <w:rPr>
      <w:color w:val="666666"/>
    </w:rPr>
  </w:style>
  <w:style w:type="character" w:customStyle="1" w:styleId="style4144">
    <w:name w:val="BuiltInTok"/>
    <w:basedOn w:val="style4120"/>
    <w:next w:val="style4144"/>
  </w:style>
  <w:style w:type="character" w:customStyle="1" w:styleId="style4145">
    <w:name w:val="ExtensionTok"/>
    <w:basedOn w:val="style4120"/>
    <w:next w:val="style4145"/>
  </w:style>
  <w:style w:type="character" w:customStyle="1" w:styleId="style4146">
    <w:name w:val="PreprocessorTok"/>
    <w:basedOn w:val="style4120"/>
    <w:next w:val="style4146"/>
    <w:rPr>
      <w:color w:val="bc7a00"/>
    </w:rPr>
  </w:style>
  <w:style w:type="character" w:customStyle="1" w:styleId="style4147">
    <w:name w:val="AttributeTok"/>
    <w:basedOn w:val="style4120"/>
    <w:next w:val="style4147"/>
    <w:rPr>
      <w:color w:val="7d9029"/>
    </w:rPr>
  </w:style>
  <w:style w:type="character" w:customStyle="1" w:styleId="style4148">
    <w:name w:val="RegionMarkerTok"/>
    <w:basedOn w:val="style4120"/>
    <w:next w:val="style4148"/>
  </w:style>
  <w:style w:type="character" w:customStyle="1" w:styleId="style4149">
    <w:name w:val="InformationTok"/>
    <w:basedOn w:val="style4120"/>
    <w:next w:val="style4149"/>
    <w:rPr>
      <w:b/>
      <w:i/>
      <w:color w:val="60a0b0"/>
    </w:rPr>
  </w:style>
  <w:style w:type="character" w:customStyle="1" w:styleId="style4150">
    <w:name w:val="WarningTok"/>
    <w:basedOn w:val="style4120"/>
    <w:next w:val="style4150"/>
    <w:rPr>
      <w:b/>
      <w:i/>
      <w:color w:val="60a0b0"/>
    </w:rPr>
  </w:style>
  <w:style w:type="character" w:customStyle="1" w:styleId="style4151">
    <w:name w:val="AlertTok"/>
    <w:basedOn w:val="style4120"/>
    <w:next w:val="style4151"/>
    <w:rPr>
      <w:b/>
      <w:color w:val="ff0000"/>
    </w:rPr>
  </w:style>
  <w:style w:type="character" w:customStyle="1" w:styleId="style4152">
    <w:name w:val="ErrorTok"/>
    <w:basedOn w:val="style4120"/>
    <w:next w:val="style4152"/>
    <w:rPr>
      <w:b/>
      <w:color w:val="ff0000"/>
    </w:rPr>
  </w:style>
  <w:style w:type="character" w:customStyle="1" w:styleId="style4153">
    <w:name w:val="NormalTok"/>
    <w:basedOn w:val="style4120"/>
    <w:next w:val="style4153"/>
  </w:style>
  <w:style w:type="paragraph" w:styleId="style179">
    <w:name w:val="List Paragraph"/>
    <w:basedOn w:val="style0"/>
    <w:qFormat/>
    <w:uiPriority w:val="34"/>
    <w:pPr>
      <w:ind w:left="720"/>
      <w:contextualSpacing/>
    </w:pPr>
    <w:rPr/>
  </w:style>
  <w:style w:type="paragraph" w:styleId="style31">
    <w:name w:val="header"/>
    <w:basedOn w:val="style0"/>
    <w:link w:val="style12319"/>
    <w:uiPriority w:val="99"/>
    <w:pPr>
      <w:tabs>
        <w:tab w:val="center" w:leader="none" w:pos="4320"/>
        <w:tab w:val="right" w:leader="none" w:pos="8640"/>
      </w:tabs>
      <w:spacing w:after="0" w:lineRule="auto" w:line="240"/>
    </w:pPr>
    <w:rPr/>
  </w:style>
  <w:style w:type="character" w:customStyle="1" w:styleId="style12319">
    <w:name w:val="Header Char"/>
    <w:basedOn w:val="style65"/>
    <w:link w:val="style31"/>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2.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Words>2257</Words>
  <Pages>1</Pages>
  <Characters>2339</Characters>
  <Application>WPS Office</Application>
  <DocSecurity>0</DocSecurity>
  <Paragraphs>53</Paragraphs>
  <ScaleCrop>false</ScaleCrop>
  <LinksUpToDate>false</LinksUpToDate>
  <CharactersWithSpaces>2366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2026-08-11T17:44:06Z</dcterms:created>
  <dc:creator>WPS Office</dc:creator>
  <lastModifiedBy>PHQ110</lastModifiedBy>
  <dcterms:modified xsi:type="dcterms:W3CDTF">2026-08-11T17:58:31Z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47c5a87251de441c8dc95238f54fe235</vt:lpwstr>
  </property>
</Properties>
</file>